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22"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9522"/>
      </w:tblGrid>
      <w:tr w14:paraId="3BE62887">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13421" w:hRule="atLeast"/>
          <w:jc w:val="center"/>
        </w:trPr>
        <w:tc>
          <w:tcPr>
            <w:tcW w:w="9522" w:type="dxa"/>
          </w:tcPr>
          <w:p w14:paraId="678FC2E0">
            <w:pPr>
              <w:spacing w:line="360" w:lineRule="auto"/>
              <w:jc w:val="center"/>
              <w:rPr>
                <w:rFonts w:hint="eastAsia"/>
                <w:szCs w:val="21"/>
              </w:rPr>
            </w:pPr>
          </w:p>
          <w:p w14:paraId="11340463">
            <w:pPr>
              <w:spacing w:line="360" w:lineRule="auto"/>
              <w:jc w:val="center"/>
              <w:rPr>
                <w:rFonts w:hint="eastAsia"/>
                <w:b/>
                <w:sz w:val="52"/>
                <w:szCs w:val="52"/>
              </w:rPr>
            </w:pPr>
          </w:p>
          <w:p w14:paraId="13990ADB">
            <w:pPr>
              <w:spacing w:line="360" w:lineRule="auto"/>
              <w:jc w:val="center"/>
              <w:rPr>
                <w:rFonts w:hint="eastAsia"/>
                <w:b/>
                <w:spacing w:val="20"/>
                <w:sz w:val="44"/>
                <w:szCs w:val="44"/>
                <w:lang w:val="en-GB"/>
              </w:rPr>
            </w:pPr>
            <w:r>
              <w:rPr>
                <w:rFonts w:hint="eastAsia"/>
                <w:sz w:val="24"/>
                <w:szCs w:val="24"/>
              </w:rPr>
              <w:drawing>
                <wp:inline distT="0" distB="0" distL="0" distR="0">
                  <wp:extent cx="1295400" cy="1266825"/>
                  <wp:effectExtent l="0" t="0" r="0" b="13335"/>
                  <wp:docPr id="463093647" name="图片 7" descr="339bdc2df1bf15a4c4d88c9929c41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93647" name="图片 7" descr="339bdc2df1bf15a4c4d88c9929c41e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95400" cy="1266825"/>
                          </a:xfrm>
                          <a:prstGeom prst="rect">
                            <a:avLst/>
                          </a:prstGeom>
                          <a:noFill/>
                          <a:ln>
                            <a:noFill/>
                          </a:ln>
                        </pic:spPr>
                      </pic:pic>
                    </a:graphicData>
                  </a:graphic>
                </wp:inline>
              </w:drawing>
            </w:r>
          </w:p>
          <w:p w14:paraId="71423292">
            <w:pPr>
              <w:spacing w:line="360" w:lineRule="auto"/>
              <w:jc w:val="center"/>
              <w:rPr>
                <w:rFonts w:hint="eastAsia"/>
                <w:b/>
                <w:spacing w:val="20"/>
                <w:sz w:val="44"/>
                <w:szCs w:val="44"/>
                <w:lang w:val="en-GB"/>
              </w:rPr>
            </w:pPr>
          </w:p>
          <w:p w14:paraId="139B0207">
            <w:pPr>
              <w:spacing w:line="360" w:lineRule="auto"/>
              <w:jc w:val="center"/>
              <w:rPr>
                <w:rFonts w:hint="eastAsia"/>
                <w:b/>
                <w:spacing w:val="20"/>
                <w:sz w:val="44"/>
                <w:szCs w:val="44"/>
                <w:lang w:val="en-GB"/>
              </w:rPr>
            </w:pPr>
          </w:p>
          <w:p w14:paraId="3CA98B1A">
            <w:pPr>
              <w:spacing w:line="360" w:lineRule="auto"/>
              <w:jc w:val="center"/>
              <w:rPr>
                <w:rFonts w:hint="eastAsia"/>
                <w:color w:val="000000"/>
              </w:rPr>
            </w:pPr>
            <w:bookmarkStart w:id="0" w:name="OLE_LINK6"/>
            <w:r>
              <w:rPr>
                <w:rFonts w:hint="eastAsia" w:ascii="黑体"/>
                <w:b/>
                <w:sz w:val="44"/>
                <w:szCs w:val="44"/>
              </w:rPr>
              <w:t>商品售后服务认证实施规则</w:t>
            </w:r>
          </w:p>
          <w:bookmarkEnd w:id="0"/>
          <w:p w14:paraId="4F4A4600">
            <w:pPr>
              <w:spacing w:line="360" w:lineRule="auto"/>
              <w:ind w:firstLine="3308" w:firstLineChars="1504"/>
              <w:rPr>
                <w:rFonts w:hint="eastAsia"/>
                <w:color w:val="000000"/>
              </w:rPr>
            </w:pPr>
          </w:p>
          <w:p w14:paraId="6F6C5ADE">
            <w:pPr>
              <w:spacing w:line="360" w:lineRule="auto"/>
              <w:ind w:firstLine="2398" w:firstLineChars="1090"/>
              <w:rPr>
                <w:rFonts w:hint="eastAsia"/>
                <w:color w:val="000000"/>
              </w:rPr>
            </w:pPr>
          </w:p>
          <w:p w14:paraId="2AE6F3EE">
            <w:pPr>
              <w:spacing w:line="360" w:lineRule="auto"/>
              <w:ind w:firstLine="2398" w:firstLineChars="1090"/>
              <w:rPr>
                <w:rFonts w:hint="eastAsia"/>
                <w:color w:val="000000"/>
              </w:rPr>
            </w:pPr>
          </w:p>
          <w:p w14:paraId="7928BFE8">
            <w:pPr>
              <w:spacing w:line="360" w:lineRule="auto"/>
              <w:ind w:firstLine="2398" w:firstLineChars="1090"/>
              <w:rPr>
                <w:rFonts w:hint="eastAsia"/>
              </w:rPr>
            </w:pPr>
          </w:p>
          <w:p w14:paraId="2B572E4E">
            <w:pPr>
              <w:spacing w:line="360" w:lineRule="auto"/>
              <w:ind w:firstLine="2398" w:firstLineChars="1090"/>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280"/>
              <w:gridCol w:w="1706"/>
              <w:gridCol w:w="2494"/>
            </w:tblGrid>
            <w:tr w14:paraId="19EE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center"/>
                </w:tcPr>
                <w:p w14:paraId="4A982619">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文件编号：</w:t>
                  </w:r>
                </w:p>
              </w:tc>
              <w:tc>
                <w:tcPr>
                  <w:tcW w:w="2280" w:type="dxa"/>
                  <w:tcBorders>
                    <w:top w:val="nil"/>
                    <w:left w:val="nil"/>
                    <w:bottom w:val="single" w:color="auto" w:sz="12" w:space="0"/>
                    <w:right w:val="nil"/>
                  </w:tcBorders>
                  <w:vAlign w:val="center"/>
                </w:tcPr>
                <w:p w14:paraId="49FA7D06">
                  <w:pPr>
                    <w:snapToGrid w:val="0"/>
                    <w:jc w:val="center"/>
                    <w:rPr>
                      <w:rFonts w:ascii="Times New Roman" w:hAnsi="Times New Roman" w:cs="Times New Roman" w:eastAsiaTheme="minorEastAsia"/>
                      <w:b/>
                      <w:sz w:val="24"/>
                      <w:szCs w:val="24"/>
                    </w:rPr>
                  </w:pPr>
                  <w:bookmarkStart w:id="1" w:name="OLE_LINK1"/>
                  <w:r>
                    <w:rPr>
                      <w:rFonts w:ascii="Times New Roman" w:hAnsi="Times New Roman" w:cs="Times New Roman" w:eastAsiaTheme="minorEastAsia"/>
                      <w:b/>
                      <w:sz w:val="24"/>
                      <w:szCs w:val="24"/>
                    </w:rPr>
                    <w:t>FLH-RZGZ-002A</w:t>
                  </w:r>
                  <w:bookmarkEnd w:id="1"/>
                </w:p>
              </w:tc>
              <w:tc>
                <w:tcPr>
                  <w:tcW w:w="1706" w:type="dxa"/>
                  <w:tcBorders>
                    <w:top w:val="nil"/>
                    <w:left w:val="nil"/>
                    <w:bottom w:val="nil"/>
                    <w:right w:val="nil"/>
                  </w:tcBorders>
                  <w:vAlign w:val="center"/>
                </w:tcPr>
                <w:p w14:paraId="299B3742">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受控状态：</w:t>
                  </w:r>
                </w:p>
              </w:tc>
              <w:tc>
                <w:tcPr>
                  <w:tcW w:w="2494" w:type="dxa"/>
                  <w:tcBorders>
                    <w:top w:val="nil"/>
                    <w:left w:val="nil"/>
                    <w:bottom w:val="single" w:color="auto" w:sz="12" w:space="0"/>
                    <w:right w:val="nil"/>
                  </w:tcBorders>
                  <w:vAlign w:val="center"/>
                </w:tcPr>
                <w:p w14:paraId="42A39DEB">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受控</w:t>
                  </w:r>
                </w:p>
              </w:tc>
            </w:tr>
            <w:tr w14:paraId="2A75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center"/>
                </w:tcPr>
                <w:p w14:paraId="5C037739">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版    次：</w:t>
                  </w:r>
                </w:p>
              </w:tc>
              <w:tc>
                <w:tcPr>
                  <w:tcW w:w="2280" w:type="dxa"/>
                  <w:tcBorders>
                    <w:top w:val="single" w:color="auto" w:sz="12" w:space="0"/>
                    <w:left w:val="nil"/>
                    <w:bottom w:val="single" w:color="auto" w:sz="12" w:space="0"/>
                    <w:right w:val="nil"/>
                  </w:tcBorders>
                  <w:vAlign w:val="center"/>
                </w:tcPr>
                <w:p w14:paraId="0C01A6E4">
                  <w:pPr>
                    <w:snapToGrid w:val="0"/>
                    <w:jc w:val="center"/>
                    <w:rPr>
                      <w:rFonts w:hint="eastAsia" w:ascii="Times New Roman" w:hAnsi="Times New Roman" w:cs="Times New Roman" w:eastAsiaTheme="minorEastAsia"/>
                      <w:b/>
                      <w:sz w:val="24"/>
                      <w:szCs w:val="24"/>
                      <w:lang w:val="en-US" w:eastAsia="zh-CN"/>
                    </w:rPr>
                  </w:pPr>
                  <w:r>
                    <w:rPr>
                      <w:rFonts w:ascii="Times New Roman" w:hAnsi="Times New Roman" w:cs="Times New Roman" w:eastAsiaTheme="minorEastAsia"/>
                      <w:b/>
                      <w:sz w:val="24"/>
                      <w:szCs w:val="24"/>
                    </w:rPr>
                    <w:t>A/</w:t>
                  </w:r>
                  <w:r>
                    <w:rPr>
                      <w:rFonts w:hint="eastAsia" w:ascii="Times New Roman" w:hAnsi="Times New Roman" w:cs="Times New Roman" w:eastAsiaTheme="minorEastAsia"/>
                      <w:b/>
                      <w:sz w:val="24"/>
                      <w:szCs w:val="24"/>
                      <w:lang w:val="en-US" w:eastAsia="zh-CN"/>
                    </w:rPr>
                    <w:t>2</w:t>
                  </w:r>
                </w:p>
              </w:tc>
              <w:tc>
                <w:tcPr>
                  <w:tcW w:w="1706" w:type="dxa"/>
                  <w:tcBorders>
                    <w:top w:val="nil"/>
                    <w:left w:val="nil"/>
                    <w:bottom w:val="nil"/>
                    <w:right w:val="nil"/>
                  </w:tcBorders>
                  <w:vAlign w:val="center"/>
                </w:tcPr>
                <w:p w14:paraId="366C42DC">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发布日期：</w:t>
                  </w:r>
                </w:p>
              </w:tc>
              <w:tc>
                <w:tcPr>
                  <w:tcW w:w="2494" w:type="dxa"/>
                  <w:tcBorders>
                    <w:top w:val="single" w:color="auto" w:sz="12" w:space="0"/>
                    <w:left w:val="nil"/>
                    <w:bottom w:val="single" w:color="auto" w:sz="12" w:space="0"/>
                    <w:right w:val="nil"/>
                  </w:tcBorders>
                  <w:vAlign w:val="center"/>
                </w:tcPr>
                <w:p w14:paraId="724DB714">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2020-12-05</w:t>
                  </w:r>
                </w:p>
              </w:tc>
            </w:tr>
            <w:tr w14:paraId="02B8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center"/>
                </w:tcPr>
                <w:p w14:paraId="75EB564E">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修订日期：</w:t>
                  </w:r>
                </w:p>
              </w:tc>
              <w:tc>
                <w:tcPr>
                  <w:tcW w:w="2280" w:type="dxa"/>
                  <w:tcBorders>
                    <w:top w:val="single" w:color="auto" w:sz="12" w:space="0"/>
                    <w:left w:val="nil"/>
                    <w:bottom w:val="single" w:color="auto" w:sz="12" w:space="0"/>
                    <w:right w:val="nil"/>
                  </w:tcBorders>
                  <w:vAlign w:val="center"/>
                </w:tcPr>
                <w:p w14:paraId="605AD62F">
                  <w:pPr>
                    <w:snapToGrid w:val="0"/>
                    <w:jc w:val="center"/>
                    <w:rPr>
                      <w:rFonts w:hint="default" w:ascii="Times New Roman" w:hAnsi="Times New Roman" w:cs="Times New Roman" w:eastAsiaTheme="minorEastAsia"/>
                      <w:b/>
                      <w:sz w:val="24"/>
                      <w:szCs w:val="24"/>
                      <w:lang w:val="en-US" w:eastAsia="zh-CN"/>
                    </w:rPr>
                  </w:pPr>
                  <w:r>
                    <w:rPr>
                      <w:rFonts w:ascii="Times New Roman" w:hAnsi="Times New Roman" w:cs="Times New Roman" w:eastAsiaTheme="minorEastAsia"/>
                      <w:b/>
                      <w:sz w:val="24"/>
                      <w:szCs w:val="24"/>
                    </w:rPr>
                    <w:t>202</w:t>
                  </w:r>
                  <w:r>
                    <w:rPr>
                      <w:rFonts w:hint="eastAsia" w:ascii="Times New Roman" w:hAnsi="Times New Roman" w:cs="Times New Roman" w:eastAsiaTheme="minorEastAsia"/>
                      <w:b/>
                      <w:sz w:val="24"/>
                      <w:szCs w:val="24"/>
                      <w:lang w:val="en-US" w:eastAsia="zh-CN"/>
                    </w:rPr>
                    <w:t>6</w:t>
                  </w:r>
                  <w:r>
                    <w:rPr>
                      <w:rFonts w:ascii="Times New Roman" w:hAnsi="Times New Roman" w:cs="Times New Roman" w:eastAsiaTheme="minorEastAsia"/>
                      <w:b/>
                      <w:sz w:val="24"/>
                      <w:szCs w:val="24"/>
                    </w:rPr>
                    <w:t>-0</w:t>
                  </w:r>
                  <w:r>
                    <w:rPr>
                      <w:rFonts w:hint="eastAsia" w:ascii="Times New Roman" w:hAnsi="Times New Roman" w:cs="Times New Roman" w:eastAsiaTheme="minorEastAsia"/>
                      <w:b/>
                      <w:sz w:val="24"/>
                      <w:szCs w:val="24"/>
                      <w:lang w:val="en-US" w:eastAsia="zh-CN"/>
                    </w:rPr>
                    <w:t>5</w:t>
                  </w:r>
                  <w:r>
                    <w:rPr>
                      <w:rFonts w:ascii="Times New Roman" w:hAnsi="Times New Roman" w:cs="Times New Roman" w:eastAsiaTheme="minorEastAsia"/>
                      <w:b/>
                      <w:sz w:val="24"/>
                      <w:szCs w:val="24"/>
                    </w:rPr>
                    <w:t>-</w:t>
                  </w:r>
                  <w:r>
                    <w:rPr>
                      <w:rFonts w:hint="eastAsia" w:ascii="Times New Roman" w:hAnsi="Times New Roman" w:cs="Times New Roman" w:eastAsiaTheme="minorEastAsia"/>
                      <w:b/>
                      <w:sz w:val="24"/>
                      <w:szCs w:val="24"/>
                      <w:lang w:val="en-US" w:eastAsia="zh-CN"/>
                    </w:rPr>
                    <w:t>25</w:t>
                  </w:r>
                </w:p>
              </w:tc>
              <w:tc>
                <w:tcPr>
                  <w:tcW w:w="1706" w:type="dxa"/>
                  <w:tcBorders>
                    <w:top w:val="nil"/>
                    <w:left w:val="nil"/>
                    <w:bottom w:val="nil"/>
                    <w:right w:val="nil"/>
                  </w:tcBorders>
                  <w:vAlign w:val="center"/>
                </w:tcPr>
                <w:p w14:paraId="17D7BFFD">
                  <w:pPr>
                    <w:snapToGrid w:val="0"/>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实施日期：</w:t>
                  </w:r>
                </w:p>
              </w:tc>
              <w:tc>
                <w:tcPr>
                  <w:tcW w:w="2494" w:type="dxa"/>
                  <w:tcBorders>
                    <w:top w:val="single" w:color="auto" w:sz="12" w:space="0"/>
                    <w:left w:val="nil"/>
                    <w:bottom w:val="single" w:color="auto" w:sz="12" w:space="0"/>
                    <w:right w:val="nil"/>
                  </w:tcBorders>
                  <w:vAlign w:val="center"/>
                </w:tcPr>
                <w:p w14:paraId="4AED0A80">
                  <w:pPr>
                    <w:snapToGrid w:val="0"/>
                    <w:jc w:val="center"/>
                    <w:rPr>
                      <w:rFonts w:hint="default" w:ascii="Times New Roman" w:hAnsi="Times New Roman" w:cs="Times New Roman" w:eastAsiaTheme="minorEastAsia"/>
                      <w:b/>
                      <w:sz w:val="24"/>
                      <w:szCs w:val="24"/>
                      <w:lang w:val="en-US" w:eastAsia="zh-CN"/>
                    </w:rPr>
                  </w:pPr>
                  <w:bookmarkStart w:id="2" w:name="OLE_LINK3"/>
                  <w:r>
                    <w:rPr>
                      <w:rFonts w:ascii="Times New Roman" w:hAnsi="Times New Roman" w:cs="Times New Roman" w:eastAsiaTheme="minorEastAsia"/>
                      <w:b/>
                      <w:sz w:val="24"/>
                      <w:szCs w:val="24"/>
                    </w:rPr>
                    <w:t>202</w:t>
                  </w:r>
                  <w:r>
                    <w:rPr>
                      <w:rFonts w:hint="eastAsia" w:ascii="Times New Roman" w:hAnsi="Times New Roman" w:cs="Times New Roman" w:eastAsiaTheme="minorEastAsia"/>
                      <w:b/>
                      <w:sz w:val="24"/>
                      <w:szCs w:val="24"/>
                      <w:lang w:val="en-US" w:eastAsia="zh-CN"/>
                    </w:rPr>
                    <w:t>6</w:t>
                  </w:r>
                  <w:r>
                    <w:rPr>
                      <w:rFonts w:ascii="Times New Roman" w:hAnsi="Times New Roman" w:cs="Times New Roman" w:eastAsiaTheme="minorEastAsia"/>
                      <w:b/>
                      <w:sz w:val="24"/>
                      <w:szCs w:val="24"/>
                    </w:rPr>
                    <w:t>-0</w:t>
                  </w:r>
                  <w:r>
                    <w:rPr>
                      <w:rFonts w:hint="eastAsia" w:ascii="Times New Roman" w:hAnsi="Times New Roman" w:cs="Times New Roman" w:eastAsiaTheme="minorEastAsia"/>
                      <w:b/>
                      <w:sz w:val="24"/>
                      <w:szCs w:val="24"/>
                      <w:lang w:val="en-US" w:eastAsia="zh-CN"/>
                    </w:rPr>
                    <w:t>5</w:t>
                  </w:r>
                  <w:r>
                    <w:rPr>
                      <w:rFonts w:ascii="Times New Roman" w:hAnsi="Times New Roman" w:cs="Times New Roman" w:eastAsiaTheme="minorEastAsia"/>
                      <w:b/>
                      <w:sz w:val="24"/>
                      <w:szCs w:val="24"/>
                    </w:rPr>
                    <w:t>-</w:t>
                  </w:r>
                  <w:bookmarkEnd w:id="2"/>
                  <w:r>
                    <w:rPr>
                      <w:rFonts w:hint="eastAsia" w:ascii="Times New Roman" w:hAnsi="Times New Roman" w:cs="Times New Roman" w:eastAsiaTheme="minorEastAsia"/>
                      <w:b/>
                      <w:sz w:val="24"/>
                      <w:szCs w:val="24"/>
                      <w:lang w:val="en-US" w:eastAsia="zh-CN"/>
                    </w:rPr>
                    <w:t>25</w:t>
                  </w:r>
                </w:p>
              </w:tc>
            </w:tr>
          </w:tbl>
          <w:p w14:paraId="0331C8D9">
            <w:pPr>
              <w:spacing w:line="360" w:lineRule="auto"/>
              <w:jc w:val="both"/>
              <w:rPr>
                <w:rFonts w:hint="eastAsia" w:ascii="楷体_GB2312" w:eastAsia="楷体_GB2312"/>
                <w:sz w:val="32"/>
                <w:szCs w:val="32"/>
              </w:rPr>
            </w:pPr>
          </w:p>
          <w:p w14:paraId="27F2E0E9">
            <w:pPr>
              <w:spacing w:line="360" w:lineRule="auto"/>
              <w:jc w:val="center"/>
              <w:rPr>
                <w:rFonts w:hint="eastAsia" w:ascii="楷体_GB2312" w:eastAsia="楷体_GB2312"/>
                <w:sz w:val="24"/>
                <w:szCs w:val="24"/>
              </w:rPr>
            </w:pPr>
          </w:p>
          <w:p w14:paraId="2BAB1E56">
            <w:pPr>
              <w:spacing w:line="360" w:lineRule="auto"/>
              <w:jc w:val="center"/>
              <w:rPr>
                <w:rFonts w:hint="eastAsia" w:ascii="楷体_GB2312" w:eastAsia="楷体_GB2312"/>
                <w:sz w:val="24"/>
                <w:szCs w:val="24"/>
              </w:rPr>
            </w:pPr>
          </w:p>
          <w:p w14:paraId="5EB79751">
            <w:pPr>
              <w:snapToGrid w:val="0"/>
              <w:jc w:val="center"/>
              <w:rPr>
                <w:rFonts w:hint="eastAsia"/>
                <w:sz w:val="36"/>
                <w:szCs w:val="36"/>
              </w:rPr>
            </w:pPr>
            <w:r>
              <w:rPr>
                <w:rFonts w:hint="eastAsia"/>
                <w:sz w:val="36"/>
                <w:szCs w:val="36"/>
              </w:rPr>
              <w:t>富利汇认证（宁夏）有限公司</w:t>
            </w:r>
          </w:p>
          <w:p w14:paraId="4434E29B">
            <w:pPr>
              <w:spacing w:line="360" w:lineRule="auto"/>
              <w:jc w:val="both"/>
              <w:rPr>
                <w:rFonts w:hint="eastAsia" w:ascii="仿宋_GB2312" w:eastAsia="仿宋_GB2312"/>
              </w:rPr>
            </w:pPr>
          </w:p>
        </w:tc>
      </w:tr>
    </w:tbl>
    <w:p w14:paraId="07ADA32E">
      <w:pPr>
        <w:tabs>
          <w:tab w:val="center" w:pos="4821"/>
        </w:tabs>
        <w:rPr>
          <w:rFonts w:hint="eastAsia"/>
        </w:rPr>
        <w:sectPr>
          <w:headerReference r:id="rId3" w:type="default"/>
          <w:footerReference r:id="rId4" w:type="default"/>
          <w:pgSz w:w="11911" w:h="16838"/>
          <w:pgMar w:top="1417" w:right="1134" w:bottom="1134" w:left="1134" w:header="737" w:footer="850" w:gutter="0"/>
          <w:cols w:space="0" w:num="1"/>
          <w:titlePg/>
          <w:docGrid w:linePitch="299" w:charSpace="0"/>
        </w:sectPr>
      </w:pPr>
    </w:p>
    <w:p w14:paraId="2B59D0E9">
      <w:pPr>
        <w:contextualSpacing/>
        <w:jc w:val="center"/>
        <w:rPr>
          <w:rFonts w:hint="eastAsia"/>
          <w:b/>
          <w:bCs/>
          <w:spacing w:val="-12"/>
          <w:sz w:val="24"/>
          <w:szCs w:val="24"/>
        </w:rPr>
      </w:pPr>
      <w:r>
        <w:rPr>
          <w:rFonts w:hint="eastAsia"/>
          <w:b/>
          <w:bCs/>
          <w:sz w:val="28"/>
          <w:szCs w:val="28"/>
        </w:rPr>
        <w:t>修改记录</w:t>
      </w:r>
    </w:p>
    <w:p w14:paraId="2FB05323">
      <w:pPr>
        <w:pStyle w:val="16"/>
        <w:numPr>
          <w:ilvl w:val="1"/>
          <w:numId w:val="0"/>
        </w:numPr>
        <w:tabs>
          <w:tab w:val="left" w:pos="419"/>
        </w:tabs>
        <w:spacing w:before="0" w:line="360" w:lineRule="auto"/>
        <w:contextualSpacing/>
        <w:jc w:val="both"/>
        <w:outlineLvl w:val="1"/>
        <w:rPr>
          <w:rFonts w:hint="eastAsia"/>
          <w:b/>
          <w:bCs/>
          <w:spacing w:val="-12"/>
          <w:sz w:val="24"/>
          <w:szCs w:val="24"/>
        </w:rPr>
      </w:pPr>
    </w:p>
    <w:tbl>
      <w:tblPr>
        <w:tblStyle w:val="1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75"/>
        <w:gridCol w:w="1232"/>
        <w:gridCol w:w="2413"/>
        <w:gridCol w:w="3082"/>
      </w:tblGrid>
      <w:tr w14:paraId="25A6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A722D0D">
            <w:pPr>
              <w:contextualSpacing/>
              <w:jc w:val="center"/>
              <w:rPr>
                <w:rFonts w:hint="eastAsia" w:cs="Arial"/>
                <w:b/>
                <w:bCs/>
              </w:rPr>
            </w:pPr>
            <w:r>
              <w:rPr>
                <w:rFonts w:cs="Arial"/>
                <w:b/>
                <w:bCs/>
                <w:w w:val="90"/>
              </w:rPr>
              <w:t>序号</w:t>
            </w:r>
          </w:p>
        </w:tc>
        <w:tc>
          <w:tcPr>
            <w:tcW w:w="1875" w:type="dxa"/>
            <w:vAlign w:val="center"/>
          </w:tcPr>
          <w:p w14:paraId="2936FC34">
            <w:pPr>
              <w:contextualSpacing/>
              <w:jc w:val="center"/>
              <w:rPr>
                <w:rFonts w:hint="eastAsia" w:cs="Arial"/>
                <w:b/>
                <w:bCs/>
              </w:rPr>
            </w:pPr>
            <w:r>
              <w:rPr>
                <w:rFonts w:cs="Arial"/>
                <w:b/>
                <w:bCs/>
              </w:rPr>
              <w:t>修改</w:t>
            </w:r>
            <w:r>
              <w:rPr>
                <w:rFonts w:hint="eastAsia" w:cs="Arial"/>
                <w:b/>
                <w:bCs/>
              </w:rPr>
              <w:t>说明</w:t>
            </w:r>
          </w:p>
        </w:tc>
        <w:tc>
          <w:tcPr>
            <w:tcW w:w="1232" w:type="dxa"/>
            <w:vAlign w:val="center"/>
          </w:tcPr>
          <w:p w14:paraId="3D761E5F">
            <w:pPr>
              <w:contextualSpacing/>
              <w:jc w:val="center"/>
              <w:rPr>
                <w:rFonts w:hint="eastAsia" w:cs="Arial"/>
                <w:b/>
                <w:bCs/>
              </w:rPr>
            </w:pPr>
            <w:r>
              <w:rPr>
                <w:rFonts w:hint="eastAsia" w:cs="Arial"/>
                <w:b/>
                <w:bCs/>
              </w:rPr>
              <w:t>版次</w:t>
            </w:r>
          </w:p>
        </w:tc>
        <w:tc>
          <w:tcPr>
            <w:tcW w:w="2413" w:type="dxa"/>
            <w:vAlign w:val="center"/>
          </w:tcPr>
          <w:p w14:paraId="7778074A">
            <w:pPr>
              <w:contextualSpacing/>
              <w:jc w:val="center"/>
              <w:rPr>
                <w:rFonts w:hint="eastAsia" w:cs="Arial"/>
                <w:b/>
                <w:bCs/>
              </w:rPr>
            </w:pPr>
            <w:r>
              <w:rPr>
                <w:rFonts w:cs="Arial"/>
                <w:b/>
                <w:bCs/>
              </w:rPr>
              <w:t>修改人/日期</w:t>
            </w:r>
          </w:p>
        </w:tc>
        <w:tc>
          <w:tcPr>
            <w:tcW w:w="3082" w:type="dxa"/>
            <w:vAlign w:val="center"/>
          </w:tcPr>
          <w:p w14:paraId="52BC877C">
            <w:pPr>
              <w:contextualSpacing/>
              <w:jc w:val="center"/>
              <w:rPr>
                <w:rFonts w:hint="eastAsia" w:cs="Arial"/>
                <w:b/>
                <w:bCs/>
              </w:rPr>
            </w:pPr>
            <w:r>
              <w:rPr>
                <w:rFonts w:cs="Arial"/>
                <w:b/>
                <w:bCs/>
              </w:rPr>
              <w:t>批准人/日期</w:t>
            </w:r>
          </w:p>
        </w:tc>
      </w:tr>
      <w:tr w14:paraId="0880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05F36F7">
            <w:pPr>
              <w:contextualSpacing/>
              <w:jc w:val="center"/>
              <w:rPr>
                <w:rFonts w:hint="eastAsia" w:cs="Arial"/>
                <w:sz w:val="21"/>
                <w:szCs w:val="21"/>
              </w:rPr>
            </w:pPr>
            <w:r>
              <w:rPr>
                <w:rFonts w:hint="eastAsia" w:cs="Arial"/>
                <w:sz w:val="21"/>
                <w:szCs w:val="21"/>
              </w:rPr>
              <w:t>01</w:t>
            </w:r>
          </w:p>
        </w:tc>
        <w:tc>
          <w:tcPr>
            <w:tcW w:w="1875" w:type="dxa"/>
            <w:vAlign w:val="center"/>
          </w:tcPr>
          <w:p w14:paraId="5FCC5E0C">
            <w:pPr>
              <w:contextualSpacing/>
              <w:jc w:val="center"/>
              <w:rPr>
                <w:rFonts w:hint="eastAsia" w:cs="Arial"/>
                <w:sz w:val="21"/>
                <w:szCs w:val="21"/>
              </w:rPr>
            </w:pPr>
            <w:r>
              <w:rPr>
                <w:rFonts w:hint="eastAsia" w:cs="Arial"/>
                <w:sz w:val="21"/>
                <w:szCs w:val="21"/>
              </w:rPr>
              <w:t>首次发布</w:t>
            </w:r>
          </w:p>
        </w:tc>
        <w:tc>
          <w:tcPr>
            <w:tcW w:w="1232" w:type="dxa"/>
            <w:vAlign w:val="center"/>
          </w:tcPr>
          <w:p w14:paraId="3E40D4AB">
            <w:pPr>
              <w:ind w:firstLine="420" w:firstLineChars="200"/>
              <w:contextualSpacing/>
              <w:rPr>
                <w:rFonts w:hint="eastAsia" w:cs="Arial"/>
                <w:sz w:val="21"/>
                <w:szCs w:val="21"/>
              </w:rPr>
            </w:pPr>
            <w:r>
              <w:rPr>
                <w:rFonts w:hint="eastAsia" w:cs="Arial"/>
                <w:sz w:val="21"/>
                <w:szCs w:val="21"/>
              </w:rPr>
              <w:t>A/O</w:t>
            </w:r>
          </w:p>
        </w:tc>
        <w:tc>
          <w:tcPr>
            <w:tcW w:w="2413" w:type="dxa"/>
            <w:vAlign w:val="center"/>
          </w:tcPr>
          <w:p w14:paraId="582B71F8">
            <w:pPr>
              <w:contextualSpacing/>
              <w:jc w:val="center"/>
              <w:rPr>
                <w:rFonts w:hint="eastAsia" w:cs="Arial"/>
                <w:sz w:val="21"/>
                <w:szCs w:val="21"/>
              </w:rPr>
            </w:pPr>
            <w:bookmarkStart w:id="3" w:name="OLE_LINK2"/>
            <w:r>
              <w:rPr>
                <w:rFonts w:hint="eastAsia" w:cs="Arial"/>
                <w:sz w:val="21"/>
                <w:szCs w:val="21"/>
              </w:rPr>
              <w:t>赵丽丽/</w:t>
            </w:r>
            <w:bookmarkEnd w:id="3"/>
            <w:r>
              <w:rPr>
                <w:rFonts w:hint="eastAsia" w:cs="Arial"/>
                <w:sz w:val="21"/>
                <w:szCs w:val="21"/>
              </w:rPr>
              <w:t>2020-12-05</w:t>
            </w:r>
          </w:p>
        </w:tc>
        <w:tc>
          <w:tcPr>
            <w:tcW w:w="3082" w:type="dxa"/>
            <w:vAlign w:val="center"/>
          </w:tcPr>
          <w:p w14:paraId="15C02CBC">
            <w:pPr>
              <w:ind w:firstLine="420" w:firstLineChars="200"/>
              <w:contextualSpacing/>
              <w:jc w:val="center"/>
              <w:rPr>
                <w:rFonts w:hint="eastAsia" w:cs="Arial"/>
                <w:sz w:val="21"/>
                <w:szCs w:val="21"/>
              </w:rPr>
            </w:pPr>
            <w:r>
              <w:rPr>
                <w:rFonts w:hint="eastAsia" w:cs="Arial"/>
                <w:sz w:val="21"/>
                <w:szCs w:val="21"/>
              </w:rPr>
              <w:t>罗洪轩/2020-12-05</w:t>
            </w:r>
          </w:p>
        </w:tc>
      </w:tr>
      <w:tr w14:paraId="6E22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537EC0F6">
            <w:pPr>
              <w:contextualSpacing/>
              <w:jc w:val="center"/>
              <w:rPr>
                <w:rFonts w:hint="eastAsia" w:cs="Arial"/>
                <w:sz w:val="21"/>
                <w:szCs w:val="21"/>
              </w:rPr>
            </w:pPr>
            <w:r>
              <w:rPr>
                <w:rFonts w:hint="eastAsia" w:cs="Arial"/>
                <w:sz w:val="21"/>
                <w:szCs w:val="21"/>
              </w:rPr>
              <w:t>02</w:t>
            </w:r>
          </w:p>
        </w:tc>
        <w:tc>
          <w:tcPr>
            <w:tcW w:w="1875" w:type="dxa"/>
            <w:vAlign w:val="center"/>
          </w:tcPr>
          <w:p w14:paraId="40BD837F">
            <w:pPr>
              <w:contextualSpacing/>
              <w:jc w:val="center"/>
              <w:rPr>
                <w:rFonts w:hint="eastAsia" w:cs="Arial"/>
                <w:sz w:val="21"/>
                <w:szCs w:val="21"/>
              </w:rPr>
            </w:pPr>
            <w:r>
              <w:rPr>
                <w:rFonts w:hint="eastAsia" w:cs="Arial"/>
                <w:sz w:val="21"/>
                <w:szCs w:val="21"/>
              </w:rPr>
              <w:t>第一次修订</w:t>
            </w:r>
          </w:p>
        </w:tc>
        <w:tc>
          <w:tcPr>
            <w:tcW w:w="1232" w:type="dxa"/>
            <w:vAlign w:val="center"/>
          </w:tcPr>
          <w:p w14:paraId="416A68B7">
            <w:pPr>
              <w:ind w:firstLine="420" w:firstLineChars="200"/>
              <w:contextualSpacing/>
              <w:rPr>
                <w:rFonts w:hint="eastAsia" w:cs="Arial"/>
                <w:sz w:val="21"/>
                <w:szCs w:val="21"/>
              </w:rPr>
            </w:pPr>
            <w:r>
              <w:rPr>
                <w:rFonts w:hint="eastAsia" w:cs="Arial"/>
                <w:sz w:val="21"/>
                <w:szCs w:val="21"/>
              </w:rPr>
              <w:t>A/1</w:t>
            </w:r>
          </w:p>
        </w:tc>
        <w:tc>
          <w:tcPr>
            <w:tcW w:w="2413" w:type="dxa"/>
            <w:vAlign w:val="center"/>
          </w:tcPr>
          <w:p w14:paraId="2A401C8F">
            <w:pPr>
              <w:contextualSpacing/>
              <w:jc w:val="center"/>
              <w:rPr>
                <w:rFonts w:hint="eastAsia" w:cs="Arial"/>
                <w:sz w:val="21"/>
                <w:szCs w:val="21"/>
              </w:rPr>
            </w:pPr>
            <w:r>
              <w:rPr>
                <w:rFonts w:hint="eastAsia" w:cs="Arial"/>
                <w:sz w:val="21"/>
                <w:szCs w:val="21"/>
              </w:rPr>
              <w:t>赵丽丽/2025-06-14</w:t>
            </w:r>
          </w:p>
        </w:tc>
        <w:tc>
          <w:tcPr>
            <w:tcW w:w="3082" w:type="dxa"/>
            <w:vAlign w:val="center"/>
          </w:tcPr>
          <w:p w14:paraId="789458E3">
            <w:pPr>
              <w:ind w:firstLine="420" w:firstLineChars="200"/>
              <w:contextualSpacing/>
              <w:jc w:val="center"/>
              <w:rPr>
                <w:rFonts w:hint="eastAsia" w:cs="Arial"/>
                <w:sz w:val="21"/>
                <w:szCs w:val="21"/>
              </w:rPr>
            </w:pPr>
            <w:r>
              <w:rPr>
                <w:rFonts w:hint="eastAsia" w:cs="Arial"/>
                <w:sz w:val="21"/>
                <w:szCs w:val="21"/>
              </w:rPr>
              <w:t>罗洪轩/2025-06-14</w:t>
            </w:r>
          </w:p>
        </w:tc>
      </w:tr>
      <w:tr w14:paraId="3571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shd w:val="clear" w:color="auto" w:fill="auto"/>
            <w:vAlign w:val="center"/>
          </w:tcPr>
          <w:p w14:paraId="4CD719CD">
            <w:pPr>
              <w:contextualSpacing/>
              <w:jc w:val="center"/>
              <w:rPr>
                <w:rFonts w:hint="eastAsia" w:ascii="宋体" w:hAnsi="宋体" w:eastAsia="宋体" w:cs="Arial"/>
                <w:sz w:val="21"/>
                <w:szCs w:val="21"/>
                <w:lang w:val="en-US" w:eastAsia="zh-CN" w:bidi="ar-SA"/>
              </w:rPr>
            </w:pPr>
            <w:r>
              <w:rPr>
                <w:rFonts w:hint="eastAsia" w:cs="Arial"/>
                <w:sz w:val="21"/>
                <w:szCs w:val="21"/>
              </w:rPr>
              <w:t>0</w:t>
            </w:r>
            <w:r>
              <w:rPr>
                <w:rFonts w:hint="eastAsia" w:cs="Arial"/>
                <w:sz w:val="21"/>
                <w:szCs w:val="21"/>
                <w:lang w:val="en-US" w:eastAsia="zh-CN"/>
              </w:rPr>
              <w:t>3</w:t>
            </w:r>
          </w:p>
        </w:tc>
        <w:tc>
          <w:tcPr>
            <w:tcW w:w="1875" w:type="dxa"/>
            <w:shd w:val="clear" w:color="auto" w:fill="auto"/>
            <w:vAlign w:val="center"/>
          </w:tcPr>
          <w:p w14:paraId="7305B5B2">
            <w:pPr>
              <w:contextualSpacing/>
              <w:jc w:val="center"/>
              <w:rPr>
                <w:rFonts w:hint="eastAsia" w:ascii="宋体" w:hAnsi="宋体" w:eastAsia="宋体" w:cs="Arial"/>
                <w:sz w:val="21"/>
                <w:szCs w:val="21"/>
                <w:lang w:val="en-US" w:eastAsia="zh-CN" w:bidi="ar-SA"/>
              </w:rPr>
            </w:pPr>
            <w:r>
              <w:rPr>
                <w:rFonts w:hint="eastAsia" w:cs="Arial"/>
                <w:sz w:val="21"/>
                <w:szCs w:val="21"/>
              </w:rPr>
              <w:t>第</w:t>
            </w:r>
            <w:r>
              <w:rPr>
                <w:rFonts w:hint="eastAsia" w:cs="Arial"/>
                <w:sz w:val="21"/>
                <w:szCs w:val="21"/>
                <w:lang w:val="en-US" w:eastAsia="zh-CN"/>
              </w:rPr>
              <w:t>二</w:t>
            </w:r>
            <w:r>
              <w:rPr>
                <w:rFonts w:hint="eastAsia" w:cs="Arial"/>
                <w:sz w:val="21"/>
                <w:szCs w:val="21"/>
              </w:rPr>
              <w:t>次修订</w:t>
            </w:r>
          </w:p>
        </w:tc>
        <w:tc>
          <w:tcPr>
            <w:tcW w:w="1232" w:type="dxa"/>
            <w:shd w:val="clear" w:color="auto" w:fill="auto"/>
            <w:vAlign w:val="center"/>
          </w:tcPr>
          <w:p w14:paraId="3D1860E7">
            <w:pPr>
              <w:ind w:firstLine="420" w:firstLineChars="200"/>
              <w:contextualSpacing/>
              <w:rPr>
                <w:rFonts w:hint="eastAsia" w:ascii="宋体" w:hAnsi="宋体" w:eastAsia="宋体" w:cs="Arial"/>
                <w:sz w:val="21"/>
                <w:szCs w:val="21"/>
                <w:lang w:val="en-US" w:eastAsia="zh-CN" w:bidi="ar-SA"/>
              </w:rPr>
            </w:pPr>
            <w:r>
              <w:rPr>
                <w:rFonts w:hint="eastAsia" w:cs="Arial"/>
                <w:sz w:val="21"/>
                <w:szCs w:val="21"/>
              </w:rPr>
              <w:t>A/</w:t>
            </w:r>
            <w:r>
              <w:rPr>
                <w:rFonts w:hint="eastAsia" w:cs="Arial"/>
                <w:sz w:val="21"/>
                <w:szCs w:val="21"/>
                <w:lang w:val="en-US" w:eastAsia="zh-CN"/>
              </w:rPr>
              <w:t>2</w:t>
            </w:r>
          </w:p>
        </w:tc>
        <w:tc>
          <w:tcPr>
            <w:tcW w:w="2413" w:type="dxa"/>
            <w:shd w:val="clear" w:color="auto" w:fill="auto"/>
            <w:vAlign w:val="center"/>
          </w:tcPr>
          <w:p w14:paraId="6B4A65D7">
            <w:pPr>
              <w:contextualSpacing/>
              <w:jc w:val="center"/>
              <w:rPr>
                <w:rFonts w:hint="default" w:ascii="宋体" w:hAnsi="宋体" w:eastAsia="宋体" w:cs="Arial"/>
                <w:sz w:val="21"/>
                <w:szCs w:val="21"/>
                <w:lang w:val="en-US" w:eastAsia="zh-CN" w:bidi="ar-SA"/>
              </w:rPr>
            </w:pPr>
            <w:r>
              <w:rPr>
                <w:rFonts w:hint="eastAsia" w:cs="Arial"/>
                <w:sz w:val="21"/>
                <w:szCs w:val="21"/>
              </w:rPr>
              <w:t>赵丽丽/202</w:t>
            </w:r>
            <w:r>
              <w:rPr>
                <w:rFonts w:hint="eastAsia" w:cs="Arial"/>
                <w:sz w:val="21"/>
                <w:szCs w:val="21"/>
                <w:lang w:val="en-US" w:eastAsia="zh-CN"/>
              </w:rPr>
              <w:t>6</w:t>
            </w:r>
            <w:r>
              <w:rPr>
                <w:rFonts w:hint="eastAsia" w:cs="Arial"/>
                <w:sz w:val="21"/>
                <w:szCs w:val="21"/>
              </w:rPr>
              <w:t>-0</w:t>
            </w:r>
            <w:r>
              <w:rPr>
                <w:rFonts w:hint="eastAsia" w:cs="Arial"/>
                <w:sz w:val="21"/>
                <w:szCs w:val="21"/>
                <w:lang w:val="en-US" w:eastAsia="zh-CN"/>
              </w:rPr>
              <w:t>5</w:t>
            </w:r>
            <w:r>
              <w:rPr>
                <w:rFonts w:hint="eastAsia" w:cs="Arial"/>
                <w:sz w:val="21"/>
                <w:szCs w:val="21"/>
              </w:rPr>
              <w:t>-</w:t>
            </w:r>
            <w:r>
              <w:rPr>
                <w:rFonts w:hint="eastAsia" w:cs="Arial"/>
                <w:sz w:val="21"/>
                <w:szCs w:val="21"/>
                <w:lang w:val="en-US" w:eastAsia="zh-CN"/>
              </w:rPr>
              <w:t>25</w:t>
            </w:r>
          </w:p>
        </w:tc>
        <w:tc>
          <w:tcPr>
            <w:tcW w:w="3082" w:type="dxa"/>
            <w:shd w:val="clear" w:color="auto" w:fill="auto"/>
            <w:vAlign w:val="center"/>
          </w:tcPr>
          <w:p w14:paraId="2031E6D6">
            <w:pPr>
              <w:ind w:firstLine="420" w:firstLineChars="200"/>
              <w:contextualSpacing/>
              <w:jc w:val="center"/>
              <w:rPr>
                <w:rFonts w:hint="default" w:ascii="宋体" w:hAnsi="宋体" w:eastAsia="宋体" w:cs="Arial"/>
                <w:sz w:val="21"/>
                <w:szCs w:val="21"/>
                <w:lang w:val="en-US" w:eastAsia="zh-CN" w:bidi="ar-SA"/>
              </w:rPr>
            </w:pPr>
            <w:r>
              <w:rPr>
                <w:rFonts w:hint="eastAsia" w:cs="Arial"/>
                <w:sz w:val="21"/>
                <w:szCs w:val="21"/>
              </w:rPr>
              <w:t>罗洪轩/202</w:t>
            </w:r>
            <w:r>
              <w:rPr>
                <w:rFonts w:hint="eastAsia" w:cs="Arial"/>
                <w:sz w:val="21"/>
                <w:szCs w:val="21"/>
                <w:lang w:val="en-US" w:eastAsia="zh-CN"/>
              </w:rPr>
              <w:t>6</w:t>
            </w:r>
            <w:r>
              <w:rPr>
                <w:rFonts w:hint="eastAsia" w:cs="Arial"/>
                <w:sz w:val="21"/>
                <w:szCs w:val="21"/>
              </w:rPr>
              <w:t>-0</w:t>
            </w:r>
            <w:r>
              <w:rPr>
                <w:rFonts w:hint="eastAsia" w:cs="Arial"/>
                <w:sz w:val="21"/>
                <w:szCs w:val="21"/>
                <w:lang w:val="en-US" w:eastAsia="zh-CN"/>
              </w:rPr>
              <w:t>5</w:t>
            </w:r>
            <w:r>
              <w:rPr>
                <w:rFonts w:hint="eastAsia" w:cs="Arial"/>
                <w:sz w:val="21"/>
                <w:szCs w:val="21"/>
              </w:rPr>
              <w:t>-</w:t>
            </w:r>
            <w:r>
              <w:rPr>
                <w:rFonts w:hint="eastAsia" w:cs="Arial"/>
                <w:sz w:val="21"/>
                <w:szCs w:val="21"/>
                <w:lang w:val="en-US" w:eastAsia="zh-CN"/>
              </w:rPr>
              <w:t>25</w:t>
            </w:r>
          </w:p>
        </w:tc>
      </w:tr>
      <w:tr w14:paraId="7CA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5C272840">
            <w:pPr>
              <w:ind w:firstLine="420" w:firstLineChars="200"/>
              <w:contextualSpacing/>
              <w:jc w:val="center"/>
              <w:rPr>
                <w:rFonts w:hint="eastAsia" w:cs="Arial"/>
                <w:sz w:val="21"/>
                <w:szCs w:val="21"/>
              </w:rPr>
            </w:pPr>
          </w:p>
        </w:tc>
        <w:tc>
          <w:tcPr>
            <w:tcW w:w="1875" w:type="dxa"/>
            <w:vAlign w:val="center"/>
          </w:tcPr>
          <w:p w14:paraId="653FFF3B">
            <w:pPr>
              <w:ind w:firstLine="420" w:firstLineChars="200"/>
              <w:contextualSpacing/>
              <w:jc w:val="center"/>
              <w:rPr>
                <w:rFonts w:hint="eastAsia" w:cs="Arial"/>
                <w:sz w:val="21"/>
                <w:szCs w:val="21"/>
              </w:rPr>
            </w:pPr>
          </w:p>
        </w:tc>
        <w:tc>
          <w:tcPr>
            <w:tcW w:w="1232" w:type="dxa"/>
            <w:vAlign w:val="center"/>
          </w:tcPr>
          <w:p w14:paraId="632F6E6C">
            <w:pPr>
              <w:ind w:firstLine="420" w:firstLineChars="200"/>
              <w:contextualSpacing/>
              <w:jc w:val="center"/>
              <w:rPr>
                <w:rFonts w:hint="eastAsia" w:cs="Arial"/>
                <w:sz w:val="21"/>
                <w:szCs w:val="21"/>
              </w:rPr>
            </w:pPr>
          </w:p>
        </w:tc>
        <w:tc>
          <w:tcPr>
            <w:tcW w:w="2413" w:type="dxa"/>
            <w:vAlign w:val="center"/>
          </w:tcPr>
          <w:p w14:paraId="2DAC05F8">
            <w:pPr>
              <w:ind w:firstLine="420" w:firstLineChars="200"/>
              <w:contextualSpacing/>
              <w:jc w:val="center"/>
              <w:rPr>
                <w:rFonts w:hint="eastAsia" w:cs="Arial"/>
                <w:sz w:val="21"/>
                <w:szCs w:val="21"/>
              </w:rPr>
            </w:pPr>
          </w:p>
        </w:tc>
        <w:tc>
          <w:tcPr>
            <w:tcW w:w="3082" w:type="dxa"/>
            <w:vAlign w:val="center"/>
          </w:tcPr>
          <w:p w14:paraId="3B6DC1AD">
            <w:pPr>
              <w:ind w:firstLine="420" w:firstLineChars="200"/>
              <w:contextualSpacing/>
              <w:jc w:val="center"/>
              <w:rPr>
                <w:rFonts w:hint="eastAsia" w:cs="Arial"/>
                <w:sz w:val="21"/>
                <w:szCs w:val="21"/>
              </w:rPr>
            </w:pPr>
          </w:p>
        </w:tc>
      </w:tr>
      <w:tr w14:paraId="026B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69E5E1A0">
            <w:pPr>
              <w:ind w:firstLine="420" w:firstLineChars="200"/>
              <w:contextualSpacing/>
              <w:jc w:val="center"/>
              <w:rPr>
                <w:rFonts w:hint="eastAsia" w:cs="Arial"/>
                <w:sz w:val="21"/>
                <w:szCs w:val="21"/>
              </w:rPr>
            </w:pPr>
          </w:p>
        </w:tc>
        <w:tc>
          <w:tcPr>
            <w:tcW w:w="1875" w:type="dxa"/>
            <w:vAlign w:val="center"/>
          </w:tcPr>
          <w:p w14:paraId="330D9829">
            <w:pPr>
              <w:ind w:firstLine="420" w:firstLineChars="200"/>
              <w:contextualSpacing/>
              <w:jc w:val="center"/>
              <w:rPr>
                <w:rFonts w:hint="eastAsia" w:cs="Arial"/>
                <w:sz w:val="21"/>
                <w:szCs w:val="21"/>
              </w:rPr>
            </w:pPr>
          </w:p>
        </w:tc>
        <w:tc>
          <w:tcPr>
            <w:tcW w:w="1232" w:type="dxa"/>
            <w:vAlign w:val="center"/>
          </w:tcPr>
          <w:p w14:paraId="2B9318FD">
            <w:pPr>
              <w:ind w:firstLine="420" w:firstLineChars="200"/>
              <w:contextualSpacing/>
              <w:jc w:val="center"/>
              <w:rPr>
                <w:rFonts w:hint="eastAsia" w:cs="Arial"/>
                <w:sz w:val="21"/>
                <w:szCs w:val="21"/>
              </w:rPr>
            </w:pPr>
          </w:p>
        </w:tc>
        <w:tc>
          <w:tcPr>
            <w:tcW w:w="2413" w:type="dxa"/>
            <w:vAlign w:val="center"/>
          </w:tcPr>
          <w:p w14:paraId="45326F50">
            <w:pPr>
              <w:ind w:firstLine="420" w:firstLineChars="200"/>
              <w:contextualSpacing/>
              <w:jc w:val="center"/>
              <w:rPr>
                <w:rFonts w:hint="eastAsia" w:cs="Arial"/>
                <w:sz w:val="21"/>
                <w:szCs w:val="21"/>
              </w:rPr>
            </w:pPr>
          </w:p>
        </w:tc>
        <w:tc>
          <w:tcPr>
            <w:tcW w:w="3082" w:type="dxa"/>
            <w:vAlign w:val="center"/>
          </w:tcPr>
          <w:p w14:paraId="3AE51BE4">
            <w:pPr>
              <w:ind w:firstLine="420" w:firstLineChars="200"/>
              <w:contextualSpacing/>
              <w:jc w:val="center"/>
              <w:rPr>
                <w:rFonts w:hint="eastAsia" w:cs="Arial"/>
                <w:sz w:val="21"/>
                <w:szCs w:val="21"/>
              </w:rPr>
            </w:pPr>
          </w:p>
        </w:tc>
      </w:tr>
      <w:tr w14:paraId="6782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7C9BA4B0">
            <w:pPr>
              <w:ind w:firstLine="420" w:firstLineChars="200"/>
              <w:contextualSpacing/>
              <w:jc w:val="center"/>
              <w:rPr>
                <w:rFonts w:hint="eastAsia" w:cs="Arial"/>
                <w:sz w:val="21"/>
                <w:szCs w:val="21"/>
              </w:rPr>
            </w:pPr>
          </w:p>
        </w:tc>
        <w:tc>
          <w:tcPr>
            <w:tcW w:w="1875" w:type="dxa"/>
            <w:vAlign w:val="center"/>
          </w:tcPr>
          <w:p w14:paraId="7A09EF32">
            <w:pPr>
              <w:ind w:firstLine="420" w:firstLineChars="200"/>
              <w:contextualSpacing/>
              <w:jc w:val="center"/>
              <w:rPr>
                <w:rFonts w:hint="eastAsia" w:cs="Arial"/>
                <w:sz w:val="21"/>
                <w:szCs w:val="21"/>
              </w:rPr>
            </w:pPr>
          </w:p>
        </w:tc>
        <w:tc>
          <w:tcPr>
            <w:tcW w:w="1232" w:type="dxa"/>
            <w:vAlign w:val="center"/>
          </w:tcPr>
          <w:p w14:paraId="6A2A3A49">
            <w:pPr>
              <w:ind w:firstLine="420" w:firstLineChars="200"/>
              <w:contextualSpacing/>
              <w:jc w:val="center"/>
              <w:rPr>
                <w:rFonts w:hint="eastAsia" w:cs="Arial"/>
                <w:sz w:val="21"/>
                <w:szCs w:val="21"/>
              </w:rPr>
            </w:pPr>
          </w:p>
        </w:tc>
        <w:tc>
          <w:tcPr>
            <w:tcW w:w="2413" w:type="dxa"/>
            <w:vAlign w:val="center"/>
          </w:tcPr>
          <w:p w14:paraId="710AFCBA">
            <w:pPr>
              <w:ind w:firstLine="420" w:firstLineChars="200"/>
              <w:contextualSpacing/>
              <w:jc w:val="center"/>
              <w:rPr>
                <w:rFonts w:hint="eastAsia" w:cs="Arial"/>
                <w:sz w:val="21"/>
                <w:szCs w:val="21"/>
              </w:rPr>
            </w:pPr>
          </w:p>
        </w:tc>
        <w:tc>
          <w:tcPr>
            <w:tcW w:w="3082" w:type="dxa"/>
            <w:vAlign w:val="center"/>
          </w:tcPr>
          <w:p w14:paraId="4D8E4F39">
            <w:pPr>
              <w:ind w:firstLine="420" w:firstLineChars="200"/>
              <w:contextualSpacing/>
              <w:jc w:val="center"/>
              <w:rPr>
                <w:rFonts w:hint="eastAsia" w:cs="Arial"/>
                <w:sz w:val="21"/>
                <w:szCs w:val="21"/>
              </w:rPr>
            </w:pPr>
          </w:p>
        </w:tc>
      </w:tr>
      <w:tr w14:paraId="02B6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82C80BD">
            <w:pPr>
              <w:ind w:firstLine="420" w:firstLineChars="200"/>
              <w:contextualSpacing/>
              <w:jc w:val="center"/>
              <w:rPr>
                <w:rFonts w:hint="eastAsia" w:cs="Arial"/>
                <w:sz w:val="21"/>
                <w:szCs w:val="21"/>
              </w:rPr>
            </w:pPr>
          </w:p>
        </w:tc>
        <w:tc>
          <w:tcPr>
            <w:tcW w:w="1875" w:type="dxa"/>
            <w:vAlign w:val="center"/>
          </w:tcPr>
          <w:p w14:paraId="2E537CFF">
            <w:pPr>
              <w:ind w:firstLine="420" w:firstLineChars="200"/>
              <w:contextualSpacing/>
              <w:jc w:val="center"/>
              <w:rPr>
                <w:rFonts w:hint="eastAsia" w:cs="Arial"/>
                <w:sz w:val="21"/>
                <w:szCs w:val="21"/>
              </w:rPr>
            </w:pPr>
          </w:p>
        </w:tc>
        <w:tc>
          <w:tcPr>
            <w:tcW w:w="1232" w:type="dxa"/>
            <w:vAlign w:val="center"/>
          </w:tcPr>
          <w:p w14:paraId="53EF0E2A">
            <w:pPr>
              <w:ind w:firstLine="420" w:firstLineChars="200"/>
              <w:contextualSpacing/>
              <w:jc w:val="center"/>
              <w:rPr>
                <w:rFonts w:hint="eastAsia" w:cs="Arial"/>
                <w:sz w:val="21"/>
                <w:szCs w:val="21"/>
              </w:rPr>
            </w:pPr>
          </w:p>
        </w:tc>
        <w:tc>
          <w:tcPr>
            <w:tcW w:w="2413" w:type="dxa"/>
            <w:vAlign w:val="center"/>
          </w:tcPr>
          <w:p w14:paraId="14FF3EB2">
            <w:pPr>
              <w:ind w:firstLine="420" w:firstLineChars="200"/>
              <w:contextualSpacing/>
              <w:jc w:val="center"/>
              <w:rPr>
                <w:rFonts w:hint="eastAsia" w:cs="Arial"/>
                <w:sz w:val="21"/>
                <w:szCs w:val="21"/>
              </w:rPr>
            </w:pPr>
          </w:p>
        </w:tc>
        <w:tc>
          <w:tcPr>
            <w:tcW w:w="3082" w:type="dxa"/>
            <w:vAlign w:val="center"/>
          </w:tcPr>
          <w:p w14:paraId="1F14F98C">
            <w:pPr>
              <w:ind w:firstLine="420" w:firstLineChars="200"/>
              <w:contextualSpacing/>
              <w:jc w:val="center"/>
              <w:rPr>
                <w:rFonts w:hint="eastAsia" w:cs="Arial"/>
                <w:sz w:val="21"/>
                <w:szCs w:val="21"/>
              </w:rPr>
            </w:pPr>
          </w:p>
        </w:tc>
      </w:tr>
      <w:tr w14:paraId="0352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53EF4D3">
            <w:pPr>
              <w:ind w:firstLine="420" w:firstLineChars="200"/>
              <w:contextualSpacing/>
              <w:jc w:val="center"/>
              <w:rPr>
                <w:rFonts w:hint="eastAsia" w:cs="Arial"/>
                <w:sz w:val="21"/>
                <w:szCs w:val="21"/>
              </w:rPr>
            </w:pPr>
          </w:p>
        </w:tc>
        <w:tc>
          <w:tcPr>
            <w:tcW w:w="1875" w:type="dxa"/>
            <w:vAlign w:val="center"/>
          </w:tcPr>
          <w:p w14:paraId="7B42FED2">
            <w:pPr>
              <w:ind w:firstLine="420" w:firstLineChars="200"/>
              <w:contextualSpacing/>
              <w:jc w:val="center"/>
              <w:rPr>
                <w:rFonts w:hint="eastAsia" w:cs="Arial"/>
                <w:sz w:val="21"/>
                <w:szCs w:val="21"/>
              </w:rPr>
            </w:pPr>
          </w:p>
        </w:tc>
        <w:tc>
          <w:tcPr>
            <w:tcW w:w="1232" w:type="dxa"/>
            <w:vAlign w:val="center"/>
          </w:tcPr>
          <w:p w14:paraId="5436A9A9">
            <w:pPr>
              <w:ind w:firstLine="420" w:firstLineChars="200"/>
              <w:contextualSpacing/>
              <w:jc w:val="center"/>
              <w:rPr>
                <w:rFonts w:hint="eastAsia" w:cs="Arial"/>
                <w:sz w:val="21"/>
                <w:szCs w:val="21"/>
              </w:rPr>
            </w:pPr>
          </w:p>
        </w:tc>
        <w:tc>
          <w:tcPr>
            <w:tcW w:w="2413" w:type="dxa"/>
            <w:vAlign w:val="center"/>
          </w:tcPr>
          <w:p w14:paraId="50179D79">
            <w:pPr>
              <w:ind w:firstLine="420" w:firstLineChars="200"/>
              <w:contextualSpacing/>
              <w:jc w:val="center"/>
              <w:rPr>
                <w:rFonts w:hint="eastAsia" w:cs="Arial"/>
                <w:sz w:val="21"/>
                <w:szCs w:val="21"/>
              </w:rPr>
            </w:pPr>
          </w:p>
        </w:tc>
        <w:tc>
          <w:tcPr>
            <w:tcW w:w="3082" w:type="dxa"/>
            <w:vAlign w:val="center"/>
          </w:tcPr>
          <w:p w14:paraId="35010612">
            <w:pPr>
              <w:ind w:firstLine="420" w:firstLineChars="200"/>
              <w:contextualSpacing/>
              <w:jc w:val="center"/>
              <w:rPr>
                <w:rFonts w:hint="eastAsia" w:cs="Arial"/>
                <w:sz w:val="21"/>
                <w:szCs w:val="21"/>
              </w:rPr>
            </w:pPr>
          </w:p>
        </w:tc>
      </w:tr>
      <w:tr w14:paraId="060F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70CF531">
            <w:pPr>
              <w:ind w:firstLine="420" w:firstLineChars="200"/>
              <w:contextualSpacing/>
              <w:jc w:val="center"/>
              <w:rPr>
                <w:rFonts w:hint="eastAsia" w:cs="Arial"/>
                <w:sz w:val="21"/>
                <w:szCs w:val="21"/>
              </w:rPr>
            </w:pPr>
          </w:p>
        </w:tc>
        <w:tc>
          <w:tcPr>
            <w:tcW w:w="1875" w:type="dxa"/>
            <w:vAlign w:val="center"/>
          </w:tcPr>
          <w:p w14:paraId="67270708">
            <w:pPr>
              <w:ind w:firstLine="420" w:firstLineChars="200"/>
              <w:contextualSpacing/>
              <w:jc w:val="center"/>
              <w:rPr>
                <w:rFonts w:hint="eastAsia" w:cs="Arial"/>
                <w:sz w:val="21"/>
                <w:szCs w:val="21"/>
              </w:rPr>
            </w:pPr>
          </w:p>
        </w:tc>
        <w:tc>
          <w:tcPr>
            <w:tcW w:w="1232" w:type="dxa"/>
            <w:vAlign w:val="center"/>
          </w:tcPr>
          <w:p w14:paraId="5F45B185">
            <w:pPr>
              <w:ind w:firstLine="420" w:firstLineChars="200"/>
              <w:contextualSpacing/>
              <w:jc w:val="center"/>
              <w:rPr>
                <w:rFonts w:hint="eastAsia" w:cs="Arial"/>
                <w:sz w:val="21"/>
                <w:szCs w:val="21"/>
              </w:rPr>
            </w:pPr>
          </w:p>
        </w:tc>
        <w:tc>
          <w:tcPr>
            <w:tcW w:w="2413" w:type="dxa"/>
            <w:vAlign w:val="center"/>
          </w:tcPr>
          <w:p w14:paraId="0FB81F93">
            <w:pPr>
              <w:ind w:firstLine="420" w:firstLineChars="200"/>
              <w:contextualSpacing/>
              <w:jc w:val="center"/>
              <w:rPr>
                <w:rFonts w:hint="eastAsia" w:cs="Arial"/>
                <w:sz w:val="21"/>
                <w:szCs w:val="21"/>
              </w:rPr>
            </w:pPr>
          </w:p>
        </w:tc>
        <w:tc>
          <w:tcPr>
            <w:tcW w:w="3082" w:type="dxa"/>
            <w:vAlign w:val="center"/>
          </w:tcPr>
          <w:p w14:paraId="259FFF3B">
            <w:pPr>
              <w:ind w:firstLine="420" w:firstLineChars="200"/>
              <w:contextualSpacing/>
              <w:jc w:val="center"/>
              <w:rPr>
                <w:rFonts w:hint="eastAsia" w:cs="Arial"/>
                <w:sz w:val="21"/>
                <w:szCs w:val="21"/>
              </w:rPr>
            </w:pPr>
          </w:p>
        </w:tc>
      </w:tr>
      <w:tr w14:paraId="1002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FB47192">
            <w:pPr>
              <w:ind w:firstLine="420" w:firstLineChars="200"/>
              <w:contextualSpacing/>
              <w:jc w:val="center"/>
              <w:rPr>
                <w:rFonts w:hint="eastAsia" w:cs="Arial"/>
                <w:sz w:val="21"/>
                <w:szCs w:val="21"/>
              </w:rPr>
            </w:pPr>
          </w:p>
        </w:tc>
        <w:tc>
          <w:tcPr>
            <w:tcW w:w="1875" w:type="dxa"/>
            <w:vAlign w:val="center"/>
          </w:tcPr>
          <w:p w14:paraId="18759CA6">
            <w:pPr>
              <w:ind w:firstLine="420" w:firstLineChars="200"/>
              <w:contextualSpacing/>
              <w:jc w:val="center"/>
              <w:rPr>
                <w:rFonts w:hint="eastAsia" w:cs="Arial"/>
                <w:sz w:val="21"/>
                <w:szCs w:val="21"/>
              </w:rPr>
            </w:pPr>
          </w:p>
        </w:tc>
        <w:tc>
          <w:tcPr>
            <w:tcW w:w="1232" w:type="dxa"/>
            <w:vAlign w:val="center"/>
          </w:tcPr>
          <w:p w14:paraId="73073F07">
            <w:pPr>
              <w:ind w:firstLine="420" w:firstLineChars="200"/>
              <w:contextualSpacing/>
              <w:jc w:val="center"/>
              <w:rPr>
                <w:rFonts w:hint="eastAsia" w:cs="Arial"/>
                <w:sz w:val="21"/>
                <w:szCs w:val="21"/>
              </w:rPr>
            </w:pPr>
          </w:p>
        </w:tc>
        <w:tc>
          <w:tcPr>
            <w:tcW w:w="2413" w:type="dxa"/>
            <w:vAlign w:val="center"/>
          </w:tcPr>
          <w:p w14:paraId="7809EE9E">
            <w:pPr>
              <w:ind w:firstLine="420" w:firstLineChars="200"/>
              <w:contextualSpacing/>
              <w:jc w:val="center"/>
              <w:rPr>
                <w:rFonts w:hint="eastAsia" w:cs="Arial"/>
                <w:sz w:val="21"/>
                <w:szCs w:val="21"/>
              </w:rPr>
            </w:pPr>
          </w:p>
        </w:tc>
        <w:tc>
          <w:tcPr>
            <w:tcW w:w="3082" w:type="dxa"/>
            <w:vAlign w:val="center"/>
          </w:tcPr>
          <w:p w14:paraId="30142600">
            <w:pPr>
              <w:ind w:firstLine="420" w:firstLineChars="200"/>
              <w:contextualSpacing/>
              <w:jc w:val="center"/>
              <w:rPr>
                <w:rFonts w:hint="eastAsia" w:cs="Arial"/>
                <w:sz w:val="21"/>
                <w:szCs w:val="21"/>
              </w:rPr>
            </w:pPr>
          </w:p>
        </w:tc>
      </w:tr>
      <w:tr w14:paraId="569E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EA34F29">
            <w:pPr>
              <w:ind w:firstLine="420" w:firstLineChars="200"/>
              <w:contextualSpacing/>
              <w:jc w:val="center"/>
              <w:rPr>
                <w:rFonts w:hint="eastAsia" w:cs="Arial"/>
                <w:sz w:val="21"/>
                <w:szCs w:val="21"/>
              </w:rPr>
            </w:pPr>
          </w:p>
        </w:tc>
        <w:tc>
          <w:tcPr>
            <w:tcW w:w="1875" w:type="dxa"/>
            <w:vAlign w:val="center"/>
          </w:tcPr>
          <w:p w14:paraId="6A20ADFC">
            <w:pPr>
              <w:ind w:firstLine="420" w:firstLineChars="200"/>
              <w:contextualSpacing/>
              <w:jc w:val="center"/>
              <w:rPr>
                <w:rFonts w:hint="eastAsia" w:cs="Arial"/>
                <w:sz w:val="21"/>
                <w:szCs w:val="21"/>
              </w:rPr>
            </w:pPr>
          </w:p>
        </w:tc>
        <w:tc>
          <w:tcPr>
            <w:tcW w:w="1232" w:type="dxa"/>
            <w:vAlign w:val="center"/>
          </w:tcPr>
          <w:p w14:paraId="02BF9170">
            <w:pPr>
              <w:ind w:firstLine="420" w:firstLineChars="200"/>
              <w:contextualSpacing/>
              <w:jc w:val="center"/>
              <w:rPr>
                <w:rFonts w:hint="eastAsia" w:cs="Arial"/>
                <w:sz w:val="21"/>
                <w:szCs w:val="21"/>
              </w:rPr>
            </w:pPr>
          </w:p>
        </w:tc>
        <w:tc>
          <w:tcPr>
            <w:tcW w:w="2413" w:type="dxa"/>
            <w:vAlign w:val="center"/>
          </w:tcPr>
          <w:p w14:paraId="0A3B36F4">
            <w:pPr>
              <w:ind w:firstLine="420" w:firstLineChars="200"/>
              <w:contextualSpacing/>
              <w:jc w:val="center"/>
              <w:rPr>
                <w:rFonts w:hint="eastAsia" w:cs="Arial"/>
                <w:sz w:val="21"/>
                <w:szCs w:val="21"/>
              </w:rPr>
            </w:pPr>
          </w:p>
        </w:tc>
        <w:tc>
          <w:tcPr>
            <w:tcW w:w="3082" w:type="dxa"/>
            <w:vAlign w:val="center"/>
          </w:tcPr>
          <w:p w14:paraId="1CB7EA23">
            <w:pPr>
              <w:ind w:firstLine="420" w:firstLineChars="200"/>
              <w:contextualSpacing/>
              <w:jc w:val="center"/>
              <w:rPr>
                <w:rFonts w:hint="eastAsia" w:cs="Arial"/>
                <w:sz w:val="21"/>
                <w:szCs w:val="21"/>
              </w:rPr>
            </w:pPr>
          </w:p>
        </w:tc>
      </w:tr>
      <w:tr w14:paraId="2096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9679B0E">
            <w:pPr>
              <w:ind w:firstLine="420" w:firstLineChars="200"/>
              <w:contextualSpacing/>
              <w:jc w:val="center"/>
              <w:rPr>
                <w:rFonts w:hint="eastAsia" w:cs="Arial"/>
                <w:sz w:val="21"/>
                <w:szCs w:val="21"/>
              </w:rPr>
            </w:pPr>
          </w:p>
        </w:tc>
        <w:tc>
          <w:tcPr>
            <w:tcW w:w="1875" w:type="dxa"/>
            <w:vAlign w:val="center"/>
          </w:tcPr>
          <w:p w14:paraId="66B42706">
            <w:pPr>
              <w:ind w:firstLine="420" w:firstLineChars="200"/>
              <w:contextualSpacing/>
              <w:jc w:val="center"/>
              <w:rPr>
                <w:rFonts w:hint="eastAsia" w:cs="Arial"/>
                <w:sz w:val="21"/>
                <w:szCs w:val="21"/>
              </w:rPr>
            </w:pPr>
          </w:p>
        </w:tc>
        <w:tc>
          <w:tcPr>
            <w:tcW w:w="1232" w:type="dxa"/>
            <w:vAlign w:val="center"/>
          </w:tcPr>
          <w:p w14:paraId="284A0133">
            <w:pPr>
              <w:ind w:firstLine="420" w:firstLineChars="200"/>
              <w:contextualSpacing/>
              <w:jc w:val="center"/>
              <w:rPr>
                <w:rFonts w:hint="eastAsia" w:cs="Arial"/>
                <w:sz w:val="21"/>
                <w:szCs w:val="21"/>
              </w:rPr>
            </w:pPr>
          </w:p>
        </w:tc>
        <w:tc>
          <w:tcPr>
            <w:tcW w:w="2413" w:type="dxa"/>
            <w:vAlign w:val="center"/>
          </w:tcPr>
          <w:p w14:paraId="3A1CCA35">
            <w:pPr>
              <w:ind w:firstLine="420" w:firstLineChars="200"/>
              <w:contextualSpacing/>
              <w:jc w:val="center"/>
              <w:rPr>
                <w:rFonts w:hint="eastAsia" w:cs="Arial"/>
                <w:sz w:val="21"/>
                <w:szCs w:val="21"/>
              </w:rPr>
            </w:pPr>
          </w:p>
        </w:tc>
        <w:tc>
          <w:tcPr>
            <w:tcW w:w="3082" w:type="dxa"/>
            <w:vAlign w:val="center"/>
          </w:tcPr>
          <w:p w14:paraId="7D86346F">
            <w:pPr>
              <w:ind w:firstLine="420" w:firstLineChars="200"/>
              <w:contextualSpacing/>
              <w:jc w:val="center"/>
              <w:rPr>
                <w:rFonts w:hint="eastAsia" w:cs="Arial"/>
                <w:sz w:val="21"/>
                <w:szCs w:val="21"/>
              </w:rPr>
            </w:pPr>
          </w:p>
        </w:tc>
      </w:tr>
      <w:tr w14:paraId="2DDC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7553601">
            <w:pPr>
              <w:ind w:firstLine="420" w:firstLineChars="200"/>
              <w:contextualSpacing/>
              <w:jc w:val="center"/>
              <w:rPr>
                <w:rFonts w:hint="eastAsia" w:cs="Arial"/>
                <w:sz w:val="21"/>
                <w:szCs w:val="21"/>
              </w:rPr>
            </w:pPr>
          </w:p>
        </w:tc>
        <w:tc>
          <w:tcPr>
            <w:tcW w:w="1875" w:type="dxa"/>
            <w:vAlign w:val="center"/>
          </w:tcPr>
          <w:p w14:paraId="2B0590F1">
            <w:pPr>
              <w:ind w:firstLine="420" w:firstLineChars="200"/>
              <w:contextualSpacing/>
              <w:jc w:val="center"/>
              <w:rPr>
                <w:rFonts w:hint="eastAsia" w:cs="Arial"/>
                <w:sz w:val="21"/>
                <w:szCs w:val="21"/>
              </w:rPr>
            </w:pPr>
          </w:p>
        </w:tc>
        <w:tc>
          <w:tcPr>
            <w:tcW w:w="1232" w:type="dxa"/>
            <w:vAlign w:val="center"/>
          </w:tcPr>
          <w:p w14:paraId="0F963975">
            <w:pPr>
              <w:ind w:firstLine="420" w:firstLineChars="200"/>
              <w:contextualSpacing/>
              <w:jc w:val="center"/>
              <w:rPr>
                <w:rFonts w:hint="eastAsia" w:cs="Arial"/>
                <w:sz w:val="21"/>
                <w:szCs w:val="21"/>
              </w:rPr>
            </w:pPr>
          </w:p>
        </w:tc>
        <w:tc>
          <w:tcPr>
            <w:tcW w:w="2413" w:type="dxa"/>
            <w:vAlign w:val="center"/>
          </w:tcPr>
          <w:p w14:paraId="1126F10F">
            <w:pPr>
              <w:ind w:firstLine="420" w:firstLineChars="200"/>
              <w:contextualSpacing/>
              <w:jc w:val="center"/>
              <w:rPr>
                <w:rFonts w:hint="eastAsia" w:cs="Arial"/>
                <w:sz w:val="21"/>
                <w:szCs w:val="21"/>
              </w:rPr>
            </w:pPr>
          </w:p>
        </w:tc>
        <w:tc>
          <w:tcPr>
            <w:tcW w:w="3082" w:type="dxa"/>
            <w:vAlign w:val="center"/>
          </w:tcPr>
          <w:p w14:paraId="1DFA7EBA">
            <w:pPr>
              <w:ind w:firstLine="420" w:firstLineChars="200"/>
              <w:contextualSpacing/>
              <w:jc w:val="center"/>
              <w:rPr>
                <w:rFonts w:hint="eastAsia" w:cs="Arial"/>
                <w:sz w:val="21"/>
                <w:szCs w:val="21"/>
              </w:rPr>
            </w:pPr>
          </w:p>
        </w:tc>
      </w:tr>
      <w:tr w14:paraId="45C2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7E6158B4">
            <w:pPr>
              <w:ind w:firstLine="420" w:firstLineChars="200"/>
              <w:contextualSpacing/>
              <w:jc w:val="center"/>
              <w:rPr>
                <w:rFonts w:hint="eastAsia" w:cs="Arial"/>
                <w:sz w:val="21"/>
                <w:szCs w:val="21"/>
              </w:rPr>
            </w:pPr>
          </w:p>
        </w:tc>
        <w:tc>
          <w:tcPr>
            <w:tcW w:w="1875" w:type="dxa"/>
            <w:vAlign w:val="center"/>
          </w:tcPr>
          <w:p w14:paraId="7794DFFB">
            <w:pPr>
              <w:ind w:firstLine="420" w:firstLineChars="200"/>
              <w:contextualSpacing/>
              <w:jc w:val="center"/>
              <w:rPr>
                <w:rFonts w:hint="eastAsia" w:cs="Arial"/>
                <w:sz w:val="21"/>
                <w:szCs w:val="21"/>
              </w:rPr>
            </w:pPr>
          </w:p>
        </w:tc>
        <w:tc>
          <w:tcPr>
            <w:tcW w:w="1232" w:type="dxa"/>
            <w:vAlign w:val="center"/>
          </w:tcPr>
          <w:p w14:paraId="2561A449">
            <w:pPr>
              <w:ind w:firstLine="420" w:firstLineChars="200"/>
              <w:contextualSpacing/>
              <w:jc w:val="center"/>
              <w:rPr>
                <w:rFonts w:hint="eastAsia" w:cs="Arial"/>
                <w:sz w:val="21"/>
                <w:szCs w:val="21"/>
              </w:rPr>
            </w:pPr>
          </w:p>
        </w:tc>
        <w:tc>
          <w:tcPr>
            <w:tcW w:w="2413" w:type="dxa"/>
            <w:vAlign w:val="center"/>
          </w:tcPr>
          <w:p w14:paraId="2DE840FD">
            <w:pPr>
              <w:ind w:firstLine="420" w:firstLineChars="200"/>
              <w:contextualSpacing/>
              <w:jc w:val="center"/>
              <w:rPr>
                <w:rFonts w:hint="eastAsia" w:cs="Arial"/>
                <w:sz w:val="21"/>
                <w:szCs w:val="21"/>
              </w:rPr>
            </w:pPr>
          </w:p>
        </w:tc>
        <w:tc>
          <w:tcPr>
            <w:tcW w:w="3082" w:type="dxa"/>
            <w:vAlign w:val="center"/>
          </w:tcPr>
          <w:p w14:paraId="4211F3CA">
            <w:pPr>
              <w:ind w:firstLine="420" w:firstLineChars="200"/>
              <w:contextualSpacing/>
              <w:jc w:val="center"/>
              <w:rPr>
                <w:rFonts w:hint="eastAsia" w:cs="Arial"/>
                <w:sz w:val="21"/>
                <w:szCs w:val="21"/>
              </w:rPr>
            </w:pPr>
          </w:p>
        </w:tc>
      </w:tr>
      <w:tr w14:paraId="0087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E6823E9">
            <w:pPr>
              <w:ind w:firstLine="420" w:firstLineChars="200"/>
              <w:contextualSpacing/>
              <w:jc w:val="center"/>
              <w:rPr>
                <w:rFonts w:hint="eastAsia" w:cs="Arial"/>
                <w:sz w:val="21"/>
                <w:szCs w:val="21"/>
              </w:rPr>
            </w:pPr>
          </w:p>
        </w:tc>
        <w:tc>
          <w:tcPr>
            <w:tcW w:w="1875" w:type="dxa"/>
            <w:vAlign w:val="center"/>
          </w:tcPr>
          <w:p w14:paraId="0C36932A">
            <w:pPr>
              <w:ind w:firstLine="420" w:firstLineChars="200"/>
              <w:contextualSpacing/>
              <w:jc w:val="center"/>
              <w:rPr>
                <w:rFonts w:hint="eastAsia" w:cs="Arial"/>
                <w:sz w:val="21"/>
                <w:szCs w:val="21"/>
              </w:rPr>
            </w:pPr>
          </w:p>
        </w:tc>
        <w:tc>
          <w:tcPr>
            <w:tcW w:w="1232" w:type="dxa"/>
            <w:vAlign w:val="center"/>
          </w:tcPr>
          <w:p w14:paraId="24B86CDB">
            <w:pPr>
              <w:ind w:firstLine="420" w:firstLineChars="200"/>
              <w:contextualSpacing/>
              <w:jc w:val="center"/>
              <w:rPr>
                <w:rFonts w:hint="eastAsia" w:cs="Arial"/>
                <w:sz w:val="21"/>
                <w:szCs w:val="21"/>
              </w:rPr>
            </w:pPr>
          </w:p>
        </w:tc>
        <w:tc>
          <w:tcPr>
            <w:tcW w:w="2413" w:type="dxa"/>
            <w:vAlign w:val="center"/>
          </w:tcPr>
          <w:p w14:paraId="5234C2AF">
            <w:pPr>
              <w:ind w:firstLine="420" w:firstLineChars="200"/>
              <w:contextualSpacing/>
              <w:jc w:val="center"/>
              <w:rPr>
                <w:rFonts w:hint="eastAsia" w:cs="Arial"/>
                <w:sz w:val="21"/>
                <w:szCs w:val="21"/>
              </w:rPr>
            </w:pPr>
          </w:p>
        </w:tc>
        <w:tc>
          <w:tcPr>
            <w:tcW w:w="3082" w:type="dxa"/>
            <w:vAlign w:val="center"/>
          </w:tcPr>
          <w:p w14:paraId="4D1D8519">
            <w:pPr>
              <w:ind w:firstLine="420" w:firstLineChars="200"/>
              <w:contextualSpacing/>
              <w:jc w:val="center"/>
              <w:rPr>
                <w:rFonts w:hint="eastAsia" w:cs="Arial"/>
                <w:sz w:val="21"/>
                <w:szCs w:val="21"/>
              </w:rPr>
            </w:pPr>
          </w:p>
        </w:tc>
      </w:tr>
    </w:tbl>
    <w:p w14:paraId="23E0AB05">
      <w:pPr>
        <w:pStyle w:val="16"/>
        <w:numPr>
          <w:ilvl w:val="1"/>
          <w:numId w:val="0"/>
        </w:numPr>
        <w:tabs>
          <w:tab w:val="left" w:pos="419"/>
        </w:tabs>
        <w:spacing w:before="0" w:line="360" w:lineRule="auto"/>
        <w:contextualSpacing/>
        <w:jc w:val="both"/>
        <w:outlineLvl w:val="1"/>
        <w:rPr>
          <w:rFonts w:hint="eastAsia"/>
          <w:b/>
          <w:bCs/>
          <w:spacing w:val="-12"/>
          <w:sz w:val="24"/>
          <w:szCs w:val="24"/>
        </w:rPr>
      </w:pPr>
    </w:p>
    <w:p w14:paraId="0683082B">
      <w:pPr>
        <w:pStyle w:val="16"/>
        <w:numPr>
          <w:ilvl w:val="1"/>
          <w:numId w:val="0"/>
        </w:numPr>
        <w:tabs>
          <w:tab w:val="left" w:pos="419"/>
        </w:tabs>
        <w:spacing w:before="0" w:line="360" w:lineRule="auto"/>
        <w:contextualSpacing/>
        <w:jc w:val="both"/>
        <w:outlineLvl w:val="1"/>
        <w:rPr>
          <w:rFonts w:hint="eastAsia"/>
          <w:b/>
          <w:bCs/>
          <w:spacing w:val="-12"/>
          <w:sz w:val="24"/>
          <w:szCs w:val="24"/>
        </w:rPr>
      </w:pPr>
    </w:p>
    <w:p w14:paraId="6BDD11E4">
      <w:pPr>
        <w:pStyle w:val="16"/>
        <w:numPr>
          <w:ilvl w:val="1"/>
          <w:numId w:val="0"/>
        </w:numPr>
        <w:tabs>
          <w:tab w:val="left" w:pos="419"/>
        </w:tabs>
        <w:spacing w:before="0" w:line="360" w:lineRule="auto"/>
        <w:contextualSpacing/>
        <w:jc w:val="both"/>
        <w:outlineLvl w:val="1"/>
        <w:rPr>
          <w:rFonts w:hint="eastAsia"/>
          <w:b/>
          <w:bCs/>
          <w:spacing w:val="-12"/>
          <w:sz w:val="24"/>
          <w:szCs w:val="24"/>
        </w:rPr>
      </w:pPr>
    </w:p>
    <w:p w14:paraId="1B04417B">
      <w:pPr>
        <w:pStyle w:val="16"/>
        <w:numPr>
          <w:ilvl w:val="1"/>
          <w:numId w:val="0"/>
        </w:numPr>
        <w:tabs>
          <w:tab w:val="left" w:pos="419"/>
        </w:tabs>
        <w:spacing w:before="0" w:line="360" w:lineRule="auto"/>
        <w:contextualSpacing/>
        <w:jc w:val="both"/>
        <w:outlineLvl w:val="1"/>
        <w:rPr>
          <w:rFonts w:hint="eastAsia"/>
          <w:b/>
          <w:bCs/>
          <w:spacing w:val="-12"/>
          <w:sz w:val="24"/>
          <w:szCs w:val="24"/>
        </w:rPr>
      </w:pPr>
    </w:p>
    <w:sdt>
      <w:sdtPr>
        <w:rPr>
          <w:rFonts w:hint="eastAsia" w:asciiTheme="minorEastAsia" w:hAnsiTheme="minorEastAsia" w:eastAsiaTheme="minorEastAsia" w:cstheme="minorEastAsia"/>
          <w:b/>
          <w:bCs/>
          <w:sz w:val="30"/>
          <w:szCs w:val="30"/>
        </w:rPr>
        <w:id w:val="147481930"/>
        <w15:color w:val="DBDBDB"/>
        <w:docPartObj>
          <w:docPartGallery w:val="Table of Contents"/>
          <w:docPartUnique/>
        </w:docPartObj>
      </w:sdtPr>
      <w:sdtEndPr>
        <w:rPr>
          <w:rFonts w:hint="eastAsia" w:ascii="宋体" w:hAnsi="宋体" w:eastAsia="宋体" w:cs="宋体"/>
          <w:b/>
          <w:bCs/>
          <w:spacing w:val="-12"/>
          <w:sz w:val="22"/>
          <w:szCs w:val="24"/>
        </w:rPr>
      </w:sdtEndPr>
      <w:sdtContent>
        <w:p w14:paraId="0D50C3A9">
          <w:pPr>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目  录</w:t>
          </w:r>
        </w:p>
        <w:p w14:paraId="6E6ED1CE">
          <w:pPr>
            <w:jc w:val="center"/>
            <w:rPr>
              <w:rFonts w:hint="eastAsia" w:asciiTheme="minorEastAsia" w:hAnsiTheme="minorEastAsia" w:eastAsiaTheme="minorEastAsia" w:cstheme="minorEastAsia"/>
              <w:b/>
              <w:bCs/>
              <w:sz w:val="30"/>
              <w:szCs w:val="30"/>
            </w:rPr>
          </w:pPr>
        </w:p>
        <w:p w14:paraId="37593E5F">
          <w:pPr>
            <w:pStyle w:val="9"/>
            <w:tabs>
              <w:tab w:val="right" w:leader="dot" w:pos="9643"/>
              <w:tab w:val="clear" w:pos="10625"/>
            </w:tabs>
          </w:pPr>
          <w:r>
            <w:rPr>
              <w:rFonts w:hint="eastAsia"/>
              <w:b/>
              <w:bCs/>
              <w:sz w:val="24"/>
              <w:szCs w:val="24"/>
            </w:rPr>
            <w:fldChar w:fldCharType="begin"/>
          </w:r>
          <w:r>
            <w:rPr>
              <w:rFonts w:hint="eastAsia"/>
              <w:b/>
              <w:bCs/>
              <w:sz w:val="24"/>
              <w:szCs w:val="24"/>
            </w:rPr>
            <w:instrText xml:space="preserve">TOC \o "1-1" \h \u </w:instrText>
          </w:r>
          <w:r>
            <w:rPr>
              <w:rFonts w:hint="eastAsia"/>
              <w:b/>
              <w:bCs/>
              <w:sz w:val="24"/>
              <w:szCs w:val="24"/>
            </w:rPr>
            <w:fldChar w:fldCharType="separate"/>
          </w:r>
          <w:r>
            <w:rPr>
              <w:rFonts w:hint="eastAsia"/>
              <w:bCs/>
              <w:szCs w:val="24"/>
            </w:rPr>
            <w:fldChar w:fldCharType="begin"/>
          </w:r>
          <w:r>
            <w:rPr>
              <w:rFonts w:hint="eastAsia"/>
              <w:bCs/>
              <w:szCs w:val="24"/>
            </w:rPr>
            <w:instrText xml:space="preserve"> HYPERLINK \l _Toc19841 </w:instrText>
          </w:r>
          <w:r>
            <w:rPr>
              <w:rFonts w:hint="eastAsia"/>
              <w:bCs/>
              <w:szCs w:val="24"/>
            </w:rPr>
            <w:fldChar w:fldCharType="separate"/>
          </w:r>
          <w:r>
            <w:rPr>
              <w:rFonts w:hint="eastAsia"/>
            </w:rPr>
            <w:t xml:space="preserve">1 </w:t>
          </w:r>
          <w:r>
            <w:t>目的和适用范围</w:t>
          </w:r>
          <w:r>
            <w:tab/>
          </w:r>
          <w:r>
            <w:fldChar w:fldCharType="begin"/>
          </w:r>
          <w:r>
            <w:instrText xml:space="preserve"> PAGEREF _Toc19841 \h </w:instrText>
          </w:r>
          <w:r>
            <w:fldChar w:fldCharType="separate"/>
          </w:r>
          <w:r>
            <w:t>1</w:t>
          </w:r>
          <w:r>
            <w:fldChar w:fldCharType="end"/>
          </w:r>
          <w:r>
            <w:rPr>
              <w:rFonts w:hint="eastAsia"/>
              <w:bCs/>
              <w:szCs w:val="24"/>
            </w:rPr>
            <w:fldChar w:fldCharType="end"/>
          </w:r>
        </w:p>
        <w:p w14:paraId="74FDF2AE">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_Toc29905 </w:instrText>
          </w:r>
          <w:r>
            <w:rPr>
              <w:rFonts w:hint="eastAsia"/>
              <w:bCs/>
              <w:spacing w:val="-12"/>
              <w:szCs w:val="24"/>
            </w:rPr>
            <w:fldChar w:fldCharType="separate"/>
          </w:r>
          <w:r>
            <w:rPr>
              <w:rFonts w:hint="eastAsia"/>
            </w:rPr>
            <w:t xml:space="preserve">2 </w:t>
          </w:r>
          <w:r>
            <w:t>引用文件</w:t>
          </w:r>
          <w:r>
            <w:tab/>
          </w:r>
          <w:r>
            <w:fldChar w:fldCharType="begin"/>
          </w:r>
          <w:r>
            <w:instrText xml:space="preserve"> PAGEREF _Toc29905 \h </w:instrText>
          </w:r>
          <w:r>
            <w:fldChar w:fldCharType="separate"/>
          </w:r>
          <w:r>
            <w:t>1</w:t>
          </w:r>
          <w:r>
            <w:fldChar w:fldCharType="end"/>
          </w:r>
          <w:r>
            <w:rPr>
              <w:rFonts w:hint="eastAsia"/>
              <w:bCs/>
              <w:spacing w:val="-12"/>
              <w:szCs w:val="24"/>
            </w:rPr>
            <w:fldChar w:fldCharType="end"/>
          </w:r>
        </w:p>
        <w:p w14:paraId="18E49373">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_Toc16085 </w:instrText>
          </w:r>
          <w:r>
            <w:rPr>
              <w:rFonts w:hint="eastAsia"/>
              <w:bCs/>
              <w:spacing w:val="-12"/>
              <w:szCs w:val="24"/>
            </w:rPr>
            <w:fldChar w:fldCharType="separate"/>
          </w:r>
          <w:r>
            <w:rPr>
              <w:rFonts w:hint="eastAsia"/>
            </w:rPr>
            <w:t xml:space="preserve">3 </w:t>
          </w:r>
          <w:r>
            <w:t>认证依据</w:t>
          </w:r>
          <w:r>
            <w:tab/>
          </w:r>
          <w:r>
            <w:fldChar w:fldCharType="begin"/>
          </w:r>
          <w:r>
            <w:instrText xml:space="preserve"> PAGEREF _Toc16085 \h </w:instrText>
          </w:r>
          <w:r>
            <w:fldChar w:fldCharType="separate"/>
          </w:r>
          <w:r>
            <w:t>1</w:t>
          </w:r>
          <w:r>
            <w:fldChar w:fldCharType="end"/>
          </w:r>
          <w:r>
            <w:rPr>
              <w:rFonts w:hint="eastAsia"/>
              <w:bCs/>
              <w:spacing w:val="-12"/>
              <w:szCs w:val="24"/>
            </w:rPr>
            <w:fldChar w:fldCharType="end"/>
          </w:r>
        </w:p>
        <w:p w14:paraId="3879340C">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_Toc12832 </w:instrText>
          </w:r>
          <w:r>
            <w:rPr>
              <w:rFonts w:hint="eastAsia"/>
              <w:bCs/>
              <w:spacing w:val="-12"/>
              <w:szCs w:val="24"/>
            </w:rPr>
            <w:fldChar w:fldCharType="separate"/>
          </w:r>
          <w:r>
            <w:rPr>
              <w:rFonts w:hint="eastAsia"/>
            </w:rPr>
            <w:t xml:space="preserve">4 </w:t>
          </w:r>
          <w:r>
            <w:t>术语和定义</w:t>
          </w:r>
          <w:r>
            <w:tab/>
          </w:r>
          <w:r>
            <w:fldChar w:fldCharType="begin"/>
          </w:r>
          <w:r>
            <w:instrText xml:space="preserve"> PAGEREF _Toc12832 \h </w:instrText>
          </w:r>
          <w:r>
            <w:fldChar w:fldCharType="separate"/>
          </w:r>
          <w:r>
            <w:t>1</w:t>
          </w:r>
          <w:r>
            <w:fldChar w:fldCharType="end"/>
          </w:r>
          <w:r>
            <w:rPr>
              <w:rFonts w:hint="eastAsia"/>
              <w:bCs/>
              <w:spacing w:val="-12"/>
              <w:szCs w:val="24"/>
            </w:rPr>
            <w:fldChar w:fldCharType="end"/>
          </w:r>
        </w:p>
        <w:p w14:paraId="631A707C">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_Toc28838 </w:instrText>
          </w:r>
          <w:r>
            <w:rPr>
              <w:rFonts w:hint="eastAsia"/>
              <w:bCs/>
              <w:spacing w:val="-12"/>
              <w:szCs w:val="24"/>
            </w:rPr>
            <w:fldChar w:fldCharType="separate"/>
          </w:r>
          <w:r>
            <w:rPr>
              <w:rFonts w:hint="eastAsia"/>
            </w:rPr>
            <w:t xml:space="preserve">5 </w:t>
          </w:r>
          <w:r>
            <w:t>认证模式、评分办法及认证结果</w:t>
          </w:r>
          <w:r>
            <w:tab/>
          </w:r>
          <w:r>
            <w:fldChar w:fldCharType="begin"/>
          </w:r>
          <w:r>
            <w:instrText xml:space="preserve"> PAGEREF _Toc28838 \h </w:instrText>
          </w:r>
          <w:r>
            <w:fldChar w:fldCharType="separate"/>
          </w:r>
          <w:r>
            <w:t>1</w:t>
          </w:r>
          <w:r>
            <w:fldChar w:fldCharType="end"/>
          </w:r>
          <w:r>
            <w:rPr>
              <w:rFonts w:hint="eastAsia"/>
              <w:bCs/>
              <w:spacing w:val="-12"/>
              <w:szCs w:val="24"/>
            </w:rPr>
            <w:fldChar w:fldCharType="end"/>
          </w:r>
        </w:p>
        <w:p w14:paraId="6205950A">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_Toc1681 </w:instrText>
          </w:r>
          <w:r>
            <w:rPr>
              <w:rFonts w:hint="eastAsia"/>
              <w:bCs/>
              <w:spacing w:val="-12"/>
              <w:szCs w:val="24"/>
            </w:rPr>
            <w:fldChar w:fldCharType="separate"/>
          </w:r>
          <w:r>
            <w:rPr>
              <w:rFonts w:hint="eastAsia"/>
            </w:rPr>
            <w:t xml:space="preserve">6 </w:t>
          </w:r>
          <w:r>
            <w:t>认证过程管理</w:t>
          </w:r>
          <w:r>
            <w:tab/>
          </w:r>
          <w:r>
            <w:fldChar w:fldCharType="begin"/>
          </w:r>
          <w:r>
            <w:instrText xml:space="preserve"> PAGEREF _Toc1681 \h </w:instrText>
          </w:r>
          <w:r>
            <w:fldChar w:fldCharType="separate"/>
          </w:r>
          <w:r>
            <w:t>3</w:t>
          </w:r>
          <w:r>
            <w:fldChar w:fldCharType="end"/>
          </w:r>
          <w:r>
            <w:rPr>
              <w:rFonts w:hint="eastAsia"/>
              <w:bCs/>
              <w:spacing w:val="-12"/>
              <w:szCs w:val="24"/>
            </w:rPr>
            <w:fldChar w:fldCharType="end"/>
          </w:r>
        </w:p>
        <w:p w14:paraId="54777FAE">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_Toc16461 </w:instrText>
          </w:r>
          <w:r>
            <w:rPr>
              <w:rFonts w:hint="eastAsia"/>
              <w:bCs/>
              <w:spacing w:val="-12"/>
              <w:szCs w:val="24"/>
            </w:rPr>
            <w:fldChar w:fldCharType="separate"/>
          </w:r>
          <w:r>
            <w:rPr>
              <w:rFonts w:hint="eastAsia"/>
            </w:rPr>
            <w:t xml:space="preserve">7 </w:t>
          </w:r>
          <w:r>
            <w:t>认证证书和标志</w:t>
          </w:r>
          <w:r>
            <w:tab/>
          </w:r>
          <w:r>
            <w:fldChar w:fldCharType="begin"/>
          </w:r>
          <w:r>
            <w:instrText xml:space="preserve"> PAGEREF _Toc16461 \h </w:instrText>
          </w:r>
          <w:r>
            <w:fldChar w:fldCharType="separate"/>
          </w:r>
          <w:r>
            <w:t>14</w:t>
          </w:r>
          <w:r>
            <w:fldChar w:fldCharType="end"/>
          </w:r>
          <w:r>
            <w:rPr>
              <w:rFonts w:hint="eastAsia"/>
              <w:bCs/>
              <w:spacing w:val="-12"/>
              <w:szCs w:val="24"/>
            </w:rPr>
            <w:fldChar w:fldCharType="end"/>
          </w:r>
        </w:p>
        <w:p w14:paraId="285A08BE">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_Toc4302 </w:instrText>
          </w:r>
          <w:r>
            <w:rPr>
              <w:rFonts w:hint="eastAsia"/>
              <w:bCs/>
              <w:spacing w:val="-12"/>
              <w:szCs w:val="24"/>
            </w:rPr>
            <w:fldChar w:fldCharType="separate"/>
          </w:r>
          <w:r>
            <w:rPr>
              <w:rFonts w:hint="eastAsia"/>
            </w:rPr>
            <w:t xml:space="preserve">8 </w:t>
          </w:r>
          <w:r>
            <w:t>多场所</w:t>
          </w:r>
          <w:r>
            <w:tab/>
          </w:r>
          <w:r>
            <w:fldChar w:fldCharType="begin"/>
          </w:r>
          <w:r>
            <w:instrText xml:space="preserve"> PAGEREF _Toc4302 \h </w:instrText>
          </w:r>
          <w:r>
            <w:fldChar w:fldCharType="separate"/>
          </w:r>
          <w:r>
            <w:t>15</w:t>
          </w:r>
          <w:r>
            <w:fldChar w:fldCharType="end"/>
          </w:r>
          <w:r>
            <w:rPr>
              <w:rFonts w:hint="eastAsia"/>
              <w:bCs/>
              <w:spacing w:val="-12"/>
              <w:szCs w:val="24"/>
            </w:rPr>
            <w:fldChar w:fldCharType="end"/>
          </w:r>
        </w:p>
        <w:p w14:paraId="0874C2C3">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_Toc5534 </w:instrText>
          </w:r>
          <w:r>
            <w:rPr>
              <w:rFonts w:hint="eastAsia"/>
              <w:bCs/>
              <w:spacing w:val="-12"/>
              <w:szCs w:val="24"/>
            </w:rPr>
            <w:fldChar w:fldCharType="separate"/>
          </w:r>
          <w:r>
            <w:rPr>
              <w:rFonts w:hint="eastAsia"/>
            </w:rPr>
            <w:t>附件一</w:t>
          </w:r>
          <w:r>
            <w:rPr>
              <w:rFonts w:hint="eastAsia"/>
              <w:lang w:val="en-US" w:eastAsia="zh-CN"/>
            </w:rPr>
            <w:t xml:space="preserve">  </w:t>
          </w:r>
          <w:r>
            <w:rPr>
              <w:rFonts w:hint="eastAsia"/>
            </w:rPr>
            <w:t>认证人日数表</w:t>
          </w:r>
          <w:r>
            <w:tab/>
          </w:r>
          <w:r>
            <w:fldChar w:fldCharType="begin"/>
          </w:r>
          <w:r>
            <w:instrText xml:space="preserve"> PAGEREF _Toc5534 \h </w:instrText>
          </w:r>
          <w:r>
            <w:fldChar w:fldCharType="separate"/>
          </w:r>
          <w:r>
            <w:t>17</w:t>
          </w:r>
          <w:r>
            <w:fldChar w:fldCharType="end"/>
          </w:r>
          <w:r>
            <w:rPr>
              <w:rFonts w:hint="eastAsia"/>
              <w:bCs/>
              <w:spacing w:val="-12"/>
              <w:szCs w:val="24"/>
            </w:rPr>
            <w:fldChar w:fldCharType="end"/>
          </w:r>
        </w:p>
        <w:p w14:paraId="0850AD1F">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_Toc5611 </w:instrText>
          </w:r>
          <w:r>
            <w:rPr>
              <w:rFonts w:hint="eastAsia"/>
              <w:bCs/>
              <w:spacing w:val="-12"/>
              <w:szCs w:val="24"/>
            </w:rPr>
            <w:fldChar w:fldCharType="separate"/>
          </w:r>
          <w:r>
            <w:rPr>
              <w:rFonts w:hint="eastAsia"/>
            </w:rPr>
            <w:t>附件二</w:t>
          </w:r>
          <w:r>
            <w:rPr>
              <w:rFonts w:hint="eastAsia"/>
              <w:lang w:val="en-US" w:eastAsia="zh-CN"/>
            </w:rPr>
            <w:t xml:space="preserve">  </w:t>
          </w:r>
          <w:r>
            <w:t>认证业务范围</w:t>
          </w:r>
          <w:r>
            <w:tab/>
          </w:r>
          <w:r>
            <w:fldChar w:fldCharType="begin"/>
          </w:r>
          <w:r>
            <w:instrText xml:space="preserve"> PAGEREF _Toc5611 \h </w:instrText>
          </w:r>
          <w:r>
            <w:fldChar w:fldCharType="separate"/>
          </w:r>
          <w:r>
            <w:t>18</w:t>
          </w:r>
          <w:r>
            <w:fldChar w:fldCharType="end"/>
          </w:r>
          <w:r>
            <w:rPr>
              <w:rFonts w:hint="eastAsia"/>
              <w:bCs/>
              <w:spacing w:val="-12"/>
              <w:szCs w:val="24"/>
            </w:rPr>
            <w:fldChar w:fldCharType="end"/>
          </w:r>
        </w:p>
        <w:p w14:paraId="0F754AC9">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_Toc21433 </w:instrText>
          </w:r>
          <w:r>
            <w:rPr>
              <w:rFonts w:hint="eastAsia"/>
              <w:bCs/>
              <w:spacing w:val="-12"/>
              <w:szCs w:val="24"/>
            </w:rPr>
            <w:fldChar w:fldCharType="separate"/>
          </w:r>
          <w:r>
            <w:rPr>
              <w:rFonts w:hint="eastAsia"/>
            </w:rPr>
            <w:t>附件三  服务</w:t>
          </w:r>
          <w:r>
            <w:t>认证证书编号规则</w:t>
          </w:r>
          <w:r>
            <w:tab/>
          </w:r>
          <w:r>
            <w:fldChar w:fldCharType="begin"/>
          </w:r>
          <w:r>
            <w:instrText xml:space="preserve"> PAGEREF _Toc21433 \h </w:instrText>
          </w:r>
          <w:r>
            <w:fldChar w:fldCharType="separate"/>
          </w:r>
          <w:r>
            <w:t>19</w:t>
          </w:r>
          <w:r>
            <w:fldChar w:fldCharType="end"/>
          </w:r>
          <w:r>
            <w:rPr>
              <w:rFonts w:hint="eastAsia"/>
              <w:bCs/>
              <w:spacing w:val="-12"/>
              <w:szCs w:val="24"/>
            </w:rPr>
            <w:fldChar w:fldCharType="end"/>
          </w:r>
        </w:p>
        <w:p w14:paraId="75A19AFE">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_Toc23900 </w:instrText>
          </w:r>
          <w:r>
            <w:rPr>
              <w:rFonts w:hint="eastAsia"/>
              <w:bCs/>
              <w:spacing w:val="-12"/>
              <w:szCs w:val="24"/>
            </w:rPr>
            <w:fldChar w:fldCharType="separate"/>
          </w:r>
          <w:r>
            <w:rPr>
              <w:rFonts w:hint="eastAsia"/>
            </w:rPr>
            <w:t>附件</w:t>
          </w:r>
          <w:r>
            <w:rPr>
              <w:rFonts w:hint="eastAsia"/>
              <w:lang w:val="en-US" w:eastAsia="zh-CN"/>
            </w:rPr>
            <w:t xml:space="preserve">四  </w:t>
          </w:r>
          <w:r>
            <w:rPr>
              <w:rFonts w:hint="eastAsia"/>
            </w:rPr>
            <w:t>标准</w:t>
          </w:r>
          <w:r>
            <w:tab/>
          </w:r>
          <w:r>
            <w:fldChar w:fldCharType="begin"/>
          </w:r>
          <w:r>
            <w:instrText xml:space="preserve"> PAGEREF _Toc23900 \h </w:instrText>
          </w:r>
          <w:r>
            <w:fldChar w:fldCharType="separate"/>
          </w:r>
          <w:r>
            <w:t>20</w:t>
          </w:r>
          <w:r>
            <w:fldChar w:fldCharType="end"/>
          </w:r>
          <w:r>
            <w:rPr>
              <w:rFonts w:hint="eastAsia"/>
              <w:bCs/>
              <w:spacing w:val="-12"/>
              <w:szCs w:val="24"/>
            </w:rPr>
            <w:fldChar w:fldCharType="end"/>
          </w:r>
        </w:p>
        <w:p w14:paraId="09229C81">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_Toc14778 </w:instrText>
          </w:r>
          <w:r>
            <w:rPr>
              <w:rFonts w:hint="eastAsia"/>
              <w:bCs/>
              <w:spacing w:val="-12"/>
              <w:szCs w:val="24"/>
            </w:rPr>
            <w:fldChar w:fldCharType="separate"/>
          </w:r>
          <w:r>
            <w:rPr>
              <w:rFonts w:hint="eastAsia"/>
            </w:rPr>
            <w:t>附件</w:t>
          </w:r>
          <w:r>
            <w:rPr>
              <w:rFonts w:hint="eastAsia"/>
              <w:lang w:val="en-US" w:eastAsia="zh-CN"/>
            </w:rPr>
            <w:t xml:space="preserve">五  </w:t>
          </w:r>
          <w:r>
            <w:rPr>
              <w:rFonts w:hint="eastAsia"/>
            </w:rPr>
            <w:t>证书样板</w:t>
          </w:r>
          <w:r>
            <w:tab/>
          </w:r>
          <w:r>
            <w:fldChar w:fldCharType="begin"/>
          </w:r>
          <w:r>
            <w:instrText xml:space="preserve"> PAGEREF _Toc14778 \h </w:instrText>
          </w:r>
          <w:r>
            <w:fldChar w:fldCharType="separate"/>
          </w:r>
          <w:r>
            <w:t>30</w:t>
          </w:r>
          <w:r>
            <w:fldChar w:fldCharType="end"/>
          </w:r>
          <w:r>
            <w:rPr>
              <w:rFonts w:hint="eastAsia"/>
              <w:bCs/>
              <w:spacing w:val="-12"/>
              <w:szCs w:val="24"/>
            </w:rPr>
            <w:fldChar w:fldCharType="end"/>
          </w:r>
        </w:p>
        <w:p w14:paraId="01900C5A">
          <w:pPr>
            <w:pStyle w:val="9"/>
            <w:tabs>
              <w:tab w:val="right" w:leader="dot" w:pos="9643"/>
              <w:tab w:val="clear" w:pos="10625"/>
            </w:tabs>
          </w:pPr>
          <w:r>
            <w:rPr>
              <w:rFonts w:hint="eastAsia"/>
              <w:bCs/>
              <w:spacing w:val="-12"/>
              <w:szCs w:val="24"/>
            </w:rPr>
            <w:fldChar w:fldCharType="begin"/>
          </w:r>
          <w:r>
            <w:rPr>
              <w:rFonts w:hint="eastAsia"/>
              <w:bCs/>
              <w:spacing w:val="-12"/>
              <w:szCs w:val="24"/>
            </w:rPr>
            <w:instrText xml:space="preserve"> HYPERLINK \l _Toc12670 </w:instrText>
          </w:r>
          <w:r>
            <w:rPr>
              <w:rFonts w:hint="eastAsia"/>
              <w:bCs/>
              <w:spacing w:val="-12"/>
              <w:szCs w:val="24"/>
            </w:rPr>
            <w:fldChar w:fldCharType="separate"/>
          </w:r>
          <w:r>
            <w:rPr>
              <w:rFonts w:hint="eastAsia"/>
              <w:spacing w:val="-12"/>
              <w:szCs w:val="24"/>
            </w:rPr>
            <w:t>附件</w:t>
          </w:r>
          <w:r>
            <w:rPr>
              <w:rFonts w:hint="eastAsia"/>
              <w:spacing w:val="-12"/>
              <w:szCs w:val="24"/>
              <w:lang w:val="en-US" w:eastAsia="zh-CN"/>
            </w:rPr>
            <w:t xml:space="preserve">六  </w:t>
          </w:r>
          <w:r>
            <w:rPr>
              <w:rFonts w:hint="eastAsia"/>
            </w:rPr>
            <w:t>机构标识</w:t>
          </w:r>
          <w:r>
            <w:tab/>
          </w:r>
          <w:r>
            <w:fldChar w:fldCharType="begin"/>
          </w:r>
          <w:r>
            <w:instrText xml:space="preserve"> PAGEREF _Toc12670 \h </w:instrText>
          </w:r>
          <w:r>
            <w:fldChar w:fldCharType="separate"/>
          </w:r>
          <w:r>
            <w:t>31</w:t>
          </w:r>
          <w:r>
            <w:fldChar w:fldCharType="end"/>
          </w:r>
          <w:r>
            <w:rPr>
              <w:rFonts w:hint="eastAsia"/>
              <w:bCs/>
              <w:spacing w:val="-12"/>
              <w:szCs w:val="24"/>
            </w:rPr>
            <w:fldChar w:fldCharType="end"/>
          </w:r>
        </w:p>
        <w:p w14:paraId="67FFB570">
          <w:pPr>
            <w:pStyle w:val="16"/>
            <w:numPr>
              <w:ilvl w:val="1"/>
              <w:numId w:val="0"/>
            </w:numPr>
            <w:tabs>
              <w:tab w:val="left" w:pos="419"/>
            </w:tabs>
            <w:spacing w:before="0" w:line="360" w:lineRule="auto"/>
            <w:contextualSpacing/>
            <w:jc w:val="both"/>
            <w:outlineLvl w:val="1"/>
            <w:rPr>
              <w:rFonts w:hint="eastAsia"/>
              <w:bCs/>
              <w:spacing w:val="-12"/>
              <w:szCs w:val="24"/>
            </w:rPr>
            <w:sectPr>
              <w:pgSz w:w="11911" w:h="16838"/>
              <w:pgMar w:top="1417" w:right="1134" w:bottom="1134" w:left="1134" w:header="737" w:footer="850" w:gutter="0"/>
              <w:cols w:space="0" w:num="1"/>
              <w:docGrid w:linePitch="299" w:charSpace="0"/>
            </w:sectPr>
          </w:pPr>
          <w:r>
            <w:rPr>
              <w:rFonts w:hint="eastAsia"/>
              <w:bCs/>
              <w:spacing w:val="-12"/>
              <w:szCs w:val="24"/>
            </w:rPr>
            <w:fldChar w:fldCharType="end"/>
          </w:r>
        </w:p>
      </w:sdtContent>
    </w:sdt>
    <w:p w14:paraId="57E0804C">
      <w:pPr>
        <w:pStyle w:val="2"/>
        <w:numPr>
          <w:ilvl w:val="0"/>
          <w:numId w:val="1"/>
        </w:numPr>
        <w:ind w:left="0" w:firstLine="0"/>
      </w:pPr>
      <w:bookmarkStart w:id="4" w:name="_Toc200813995"/>
      <w:r>
        <w:rPr>
          <w:rFonts w:hint="eastAsia"/>
        </w:rPr>
        <w:t xml:space="preserve"> </w:t>
      </w:r>
      <w:bookmarkStart w:id="5" w:name="_Toc19841"/>
      <w:r>
        <w:t>目的和适用范围</w:t>
      </w:r>
      <w:bookmarkEnd w:id="4"/>
      <w:bookmarkEnd w:id="5"/>
    </w:p>
    <w:p w14:paraId="5AA6D20D">
      <w:pPr>
        <w:pStyle w:val="5"/>
        <w:spacing w:before="0" w:line="360" w:lineRule="auto"/>
        <w:ind w:left="0" w:firstLine="412"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2"/>
        </w:rPr>
        <w:t>本规则用于规范富利汇认证（宁夏）有限公司（以下简称</w:t>
      </w:r>
      <w:r>
        <w:rPr>
          <w:rFonts w:hint="eastAsia" w:ascii="Times New Roman" w:hAnsi="Times New Roman" w:cs="Times New Roman" w:eastAsiaTheme="minorEastAsia"/>
          <w:spacing w:val="-2"/>
        </w:rPr>
        <w:t>“</w:t>
      </w:r>
      <w:r>
        <w:rPr>
          <w:rFonts w:ascii="Times New Roman" w:hAnsi="Times New Roman" w:cs="Times New Roman" w:eastAsiaTheme="minorEastAsia"/>
          <w:spacing w:val="-2"/>
        </w:rPr>
        <w:t>FLH</w:t>
      </w:r>
      <w:r>
        <w:rPr>
          <w:rFonts w:hint="eastAsia" w:ascii="Times New Roman" w:hAnsi="Times New Roman" w:cs="Times New Roman" w:eastAsiaTheme="minorEastAsia"/>
          <w:spacing w:val="-2"/>
        </w:rPr>
        <w:t>”</w:t>
      </w:r>
      <w:r>
        <w:rPr>
          <w:rFonts w:ascii="Times New Roman" w:hAnsi="Times New Roman" w:cs="Times New Roman" w:eastAsiaTheme="minorEastAsia"/>
          <w:spacing w:val="-2"/>
        </w:rPr>
        <w:t>）开展批发业和零售业售后服务认证活动。</w:t>
      </w:r>
    </w:p>
    <w:p w14:paraId="4CD532E2">
      <w:pPr>
        <w:pStyle w:val="5"/>
        <w:spacing w:before="0" w:line="360" w:lineRule="auto"/>
        <w:ind w:left="0" w:firstLine="412"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2"/>
        </w:rPr>
        <w:t>为规范商品售后服务认证工作开展，确保FLH提供商品售后服务认证过程的有效性，根据《中华人民</w:t>
      </w:r>
      <w:r>
        <w:rPr>
          <w:rFonts w:ascii="Times New Roman" w:hAnsi="Times New Roman" w:cs="Times New Roman" w:eastAsiaTheme="minorEastAsia"/>
          <w:spacing w:val="-10"/>
        </w:rPr>
        <w:t>共和同认证认可条例》、《认证机构管理办法》、《产品、过程和服务认证机构要求（CNAS-CC02）和《合格评</w:t>
      </w:r>
      <w:r>
        <w:rPr>
          <w:rFonts w:ascii="Times New Roman" w:hAnsi="Times New Roman" w:cs="Times New Roman" w:eastAsiaTheme="minorEastAsia"/>
          <w:spacing w:val="-2"/>
        </w:rPr>
        <w:t>定－服务认证技术通则》等有关要求，特制定本实施方案。</w:t>
      </w:r>
    </w:p>
    <w:p w14:paraId="2A0DF31A">
      <w:pPr>
        <w:pStyle w:val="2"/>
        <w:numPr>
          <w:ilvl w:val="0"/>
          <w:numId w:val="1"/>
        </w:numPr>
        <w:ind w:left="0" w:firstLine="0"/>
      </w:pPr>
      <w:bookmarkStart w:id="6" w:name="2_引用文件"/>
      <w:bookmarkEnd w:id="6"/>
      <w:bookmarkStart w:id="7" w:name="_Toc200813996"/>
      <w:bookmarkStart w:id="8" w:name="_Toc29905"/>
      <w:r>
        <w:t>引用文件</w:t>
      </w:r>
      <w:bookmarkEnd w:id="7"/>
      <w:bookmarkEnd w:id="8"/>
    </w:p>
    <w:p w14:paraId="7433EE9B">
      <w:pPr>
        <w:pStyle w:val="5"/>
        <w:spacing w:before="0" w:line="360" w:lineRule="auto"/>
        <w:ind w:left="0" w:firstLine="412"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2"/>
        </w:rPr>
        <w:t>下列文件中的条款通过本方案的引用而成为本规范的条款；凡是不注明日期引用文件，其最新版本适用于本规范。</w:t>
      </w:r>
    </w:p>
    <w:p w14:paraId="2CB7F351">
      <w:pPr>
        <w:pStyle w:val="5"/>
        <w:spacing w:before="0" w:line="360" w:lineRule="auto"/>
        <w:ind w:left="0" w:firstLine="412" w:firstLineChars="200"/>
        <w:contextualSpacing/>
        <w:jc w:val="both"/>
        <w:rPr>
          <w:rFonts w:ascii="Times New Roman" w:hAnsi="Times New Roman" w:cs="Times New Roman" w:eastAsiaTheme="minorEastAsia"/>
          <w:spacing w:val="-2"/>
        </w:rPr>
      </w:pPr>
      <w:bookmarkStart w:id="9" w:name="3_认证依据"/>
      <w:bookmarkEnd w:id="9"/>
      <w:bookmarkStart w:id="10" w:name="_Toc200813997"/>
      <w:r>
        <w:rPr>
          <w:rFonts w:ascii="Times New Roman" w:hAnsi="Times New Roman" w:cs="Times New Roman" w:eastAsiaTheme="minorEastAsia"/>
          <w:spacing w:val="-2"/>
        </w:rPr>
        <w:t>GB/T27922－2011商品售后服务评价体系</w:t>
      </w:r>
    </w:p>
    <w:p w14:paraId="5F30D744">
      <w:pPr>
        <w:pStyle w:val="2"/>
        <w:numPr>
          <w:ilvl w:val="0"/>
          <w:numId w:val="1"/>
        </w:numPr>
        <w:ind w:left="0" w:firstLine="0"/>
      </w:pPr>
      <w:bookmarkStart w:id="11" w:name="_Toc16085"/>
      <w:r>
        <w:t>认证依据</w:t>
      </w:r>
      <w:bookmarkEnd w:id="10"/>
      <w:bookmarkEnd w:id="11"/>
    </w:p>
    <w:p w14:paraId="6FBF37BF">
      <w:pPr>
        <w:pStyle w:val="5"/>
        <w:spacing w:before="0" w:line="360" w:lineRule="auto"/>
        <w:ind w:left="0" w:firstLine="412" w:firstLineChars="200"/>
        <w:contextualSpacing/>
        <w:jc w:val="both"/>
        <w:rPr>
          <w:rFonts w:ascii="Times New Roman" w:hAnsi="Times New Roman" w:cs="Times New Roman" w:eastAsiaTheme="minorEastAsia"/>
          <w:spacing w:val="-2"/>
        </w:rPr>
      </w:pPr>
      <w:r>
        <w:rPr>
          <w:rFonts w:ascii="Times New Roman" w:hAnsi="Times New Roman" w:cs="Times New Roman" w:eastAsiaTheme="minorEastAsia"/>
          <w:spacing w:val="-2"/>
        </w:rPr>
        <w:t>GB/T27922－2011商品售后服务评价体系</w:t>
      </w:r>
      <w:bookmarkStart w:id="12" w:name="4_术语和定义"/>
      <w:bookmarkEnd w:id="12"/>
    </w:p>
    <w:p w14:paraId="15CA97BF">
      <w:pPr>
        <w:pStyle w:val="2"/>
        <w:numPr>
          <w:ilvl w:val="0"/>
          <w:numId w:val="1"/>
        </w:numPr>
        <w:ind w:left="0" w:firstLine="0"/>
      </w:pPr>
      <w:bookmarkStart w:id="13" w:name="_Toc200813998"/>
      <w:bookmarkStart w:id="14" w:name="_Toc12832"/>
      <w:r>
        <w:t>术语和定义</w:t>
      </w:r>
      <w:bookmarkEnd w:id="13"/>
      <w:bookmarkEnd w:id="14"/>
    </w:p>
    <w:p w14:paraId="182C2985">
      <w:pPr>
        <w:pStyle w:val="16"/>
        <w:spacing w:before="0" w:line="360" w:lineRule="auto"/>
        <w:ind w:firstLine="0"/>
        <w:rPr>
          <w:rFonts w:ascii="Times New Roman" w:hAnsi="Times New Roman" w:cs="Times New Roman" w:eastAsiaTheme="minorEastAsia"/>
          <w:sz w:val="21"/>
          <w:szCs w:val="21"/>
        </w:rPr>
      </w:pPr>
      <w:bookmarkStart w:id="15" w:name="_Toc200813999"/>
      <w:r>
        <w:rPr>
          <w:rFonts w:ascii="Times New Roman" w:hAnsi="Times New Roman" w:cs="Times New Roman" w:eastAsiaTheme="minorEastAsia"/>
          <w:sz w:val="21"/>
          <w:szCs w:val="21"/>
        </w:rPr>
        <w:t>售后服务</w:t>
      </w:r>
      <w:bookmarkEnd w:id="15"/>
    </w:p>
    <w:p w14:paraId="71419075">
      <w:pPr>
        <w:pStyle w:val="5"/>
        <w:spacing w:before="0" w:line="360" w:lineRule="auto"/>
        <w:ind w:left="0" w:firstLine="404"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4"/>
        </w:rPr>
        <w:t>向顾客售出商品或从顾客接受无形产品开始，所提供的有偿或无偿的服务。</w:t>
      </w:r>
      <w:r>
        <w:rPr>
          <w:rFonts w:ascii="Times New Roman" w:hAnsi="Times New Roman" w:cs="Times New Roman" w:eastAsiaTheme="minorEastAsia"/>
          <w:spacing w:val="-2"/>
        </w:rPr>
        <w:t>注：售后服务包括但不局限于以下方面：</w:t>
      </w:r>
    </w:p>
    <w:p w14:paraId="7B4FBABB">
      <w:pPr>
        <w:pStyle w:val="16"/>
        <w:numPr>
          <w:ilvl w:val="1"/>
          <w:numId w:val="0"/>
        </w:numPr>
        <w:tabs>
          <w:tab w:val="left" w:pos="858"/>
        </w:tabs>
        <w:spacing w:before="0" w:line="360" w:lineRule="auto"/>
        <w:ind w:firstLine="408"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pacing w:val="-3"/>
          <w:sz w:val="21"/>
          <w:szCs w:val="21"/>
        </w:rPr>
        <w:t>1）</w:t>
      </w:r>
      <w:r>
        <w:rPr>
          <w:rFonts w:ascii="Times New Roman" w:hAnsi="Times New Roman" w:cs="Times New Roman" w:eastAsiaTheme="minorEastAsia"/>
          <w:spacing w:val="-3"/>
          <w:sz w:val="21"/>
          <w:szCs w:val="21"/>
        </w:rPr>
        <w:t>随合同签订可提供的活动，例如测量、规划、咨询、策划、设计等；</w:t>
      </w:r>
    </w:p>
    <w:p w14:paraId="3CBB9D3B">
      <w:pPr>
        <w:pStyle w:val="16"/>
        <w:numPr>
          <w:ilvl w:val="1"/>
          <w:numId w:val="0"/>
        </w:numPr>
        <w:tabs>
          <w:tab w:val="left" w:pos="858"/>
        </w:tabs>
        <w:spacing w:before="0" w:line="360" w:lineRule="auto"/>
        <w:ind w:firstLine="400"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pacing w:val="-5"/>
          <w:sz w:val="21"/>
          <w:szCs w:val="21"/>
        </w:rPr>
        <w:t>2）</w:t>
      </w:r>
      <w:r>
        <w:rPr>
          <w:rFonts w:ascii="Times New Roman" w:hAnsi="Times New Roman" w:cs="Times New Roman" w:eastAsiaTheme="minorEastAsia"/>
          <w:spacing w:val="-5"/>
          <w:sz w:val="21"/>
          <w:szCs w:val="21"/>
        </w:rPr>
        <w:t>在商品售出到投入正常使用期间所涉及的活动，例如送货、安装、技术咨询与培训等；</w:t>
      </w:r>
    </w:p>
    <w:p w14:paraId="048BBFAC">
      <w:pPr>
        <w:pStyle w:val="16"/>
        <w:numPr>
          <w:ilvl w:val="1"/>
          <w:numId w:val="0"/>
        </w:numPr>
        <w:tabs>
          <w:tab w:val="left" w:pos="858"/>
        </w:tabs>
        <w:spacing w:before="0" w:line="360" w:lineRule="auto"/>
        <w:ind w:firstLine="400"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pacing w:val="-5"/>
          <w:sz w:val="21"/>
          <w:szCs w:val="21"/>
        </w:rPr>
        <w:t>3）</w:t>
      </w:r>
      <w:r>
        <w:rPr>
          <w:rFonts w:ascii="Times New Roman" w:hAnsi="Times New Roman" w:cs="Times New Roman" w:eastAsiaTheme="minorEastAsia"/>
          <w:spacing w:val="-5"/>
          <w:sz w:val="21"/>
          <w:szCs w:val="21"/>
        </w:rPr>
        <w:t>商品质量涉及的活动，例如退换、召回、维修、保养、检测、配件供应等；</w:t>
      </w:r>
    </w:p>
    <w:p w14:paraId="0044D7CB">
      <w:pPr>
        <w:pStyle w:val="16"/>
        <w:numPr>
          <w:ilvl w:val="1"/>
          <w:numId w:val="0"/>
        </w:numPr>
        <w:tabs>
          <w:tab w:val="left" w:pos="858"/>
        </w:tabs>
        <w:spacing w:before="0" w:line="360" w:lineRule="auto"/>
        <w:ind w:firstLine="412"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pacing w:val="-2"/>
          <w:sz w:val="21"/>
          <w:szCs w:val="21"/>
        </w:rPr>
        <w:t>4）</w:t>
      </w:r>
      <w:r>
        <w:rPr>
          <w:rFonts w:ascii="Times New Roman" w:hAnsi="Times New Roman" w:cs="Times New Roman" w:eastAsiaTheme="minorEastAsia"/>
          <w:spacing w:val="-2"/>
          <w:sz w:val="21"/>
          <w:szCs w:val="21"/>
        </w:rPr>
        <w:t>为获得顾客反馈或维系顾客关系而开展的活动，例如商品使用知识宣传、商品或服务文化宣传、网站或短信传递服务、新品推荐等；</w:t>
      </w:r>
    </w:p>
    <w:p w14:paraId="6C1743F6">
      <w:pPr>
        <w:pStyle w:val="16"/>
        <w:numPr>
          <w:ilvl w:val="1"/>
          <w:numId w:val="0"/>
        </w:numPr>
        <w:tabs>
          <w:tab w:val="left" w:pos="858"/>
        </w:tabs>
        <w:spacing w:before="0" w:line="360" w:lineRule="auto"/>
        <w:ind w:firstLine="384"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pacing w:val="-9"/>
          <w:sz w:val="21"/>
          <w:szCs w:val="21"/>
        </w:rPr>
        <w:t>5）</w:t>
      </w:r>
      <w:r>
        <w:rPr>
          <w:rFonts w:ascii="Times New Roman" w:hAnsi="Times New Roman" w:cs="Times New Roman" w:eastAsiaTheme="minorEastAsia"/>
          <w:spacing w:val="-9"/>
          <w:sz w:val="21"/>
          <w:szCs w:val="21"/>
        </w:rPr>
        <w:t>有形产品或设施基础上提供文化理念或相关服务的活动，例如景区、餐饮、酒店、商场的服务。</w:t>
      </w:r>
    </w:p>
    <w:p w14:paraId="53971D91">
      <w:pPr>
        <w:pStyle w:val="16"/>
        <w:spacing w:before="0" w:line="360" w:lineRule="auto"/>
        <w:ind w:firstLine="0"/>
        <w:rPr>
          <w:rFonts w:ascii="Times New Roman" w:hAnsi="Times New Roman" w:cs="Times New Roman" w:eastAsiaTheme="minorEastAsia"/>
          <w:sz w:val="21"/>
          <w:szCs w:val="21"/>
        </w:rPr>
      </w:pPr>
      <w:bookmarkStart w:id="16" w:name="4.2_售后服务管理师"/>
      <w:bookmarkEnd w:id="16"/>
      <w:bookmarkStart w:id="17" w:name="_Toc200814000"/>
      <w:r>
        <w:rPr>
          <w:rFonts w:ascii="Times New Roman" w:hAnsi="Times New Roman" w:cs="Times New Roman" w:eastAsiaTheme="minorEastAsia"/>
          <w:sz w:val="21"/>
          <w:szCs w:val="21"/>
        </w:rPr>
        <w:t>售后服务管理师</w:t>
      </w:r>
      <w:bookmarkEnd w:id="17"/>
    </w:p>
    <w:p w14:paraId="67562CCC">
      <w:pPr>
        <w:pStyle w:val="5"/>
        <w:spacing w:before="0" w:line="360" w:lineRule="auto"/>
        <w:ind w:left="0" w:firstLine="408"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3"/>
        </w:rPr>
        <w:t>通过有培训资质的机构培训并考试合格，获得售后服务管理师执业资质的管理人员。</w:t>
      </w:r>
    </w:p>
    <w:p w14:paraId="7001883D">
      <w:pPr>
        <w:pStyle w:val="16"/>
        <w:spacing w:before="0" w:line="360" w:lineRule="auto"/>
        <w:ind w:firstLine="0"/>
        <w:rPr>
          <w:rFonts w:ascii="Times New Roman" w:hAnsi="Times New Roman" w:cs="Times New Roman" w:eastAsiaTheme="minorEastAsia"/>
          <w:sz w:val="21"/>
          <w:szCs w:val="21"/>
        </w:rPr>
      </w:pPr>
      <w:bookmarkStart w:id="18" w:name="_Toc200814001"/>
      <w:r>
        <w:rPr>
          <w:rFonts w:ascii="Times New Roman" w:hAnsi="Times New Roman" w:cs="Times New Roman" w:eastAsiaTheme="minorEastAsia"/>
          <w:sz w:val="21"/>
          <w:szCs w:val="21"/>
        </w:rPr>
        <w:t>评价体系</w:t>
      </w:r>
      <w:bookmarkEnd w:id="18"/>
    </w:p>
    <w:p w14:paraId="05D48F37">
      <w:pPr>
        <w:pStyle w:val="5"/>
        <w:spacing w:before="0" w:line="360" w:lineRule="auto"/>
        <w:ind w:left="0" w:firstLine="400"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5"/>
        </w:rPr>
        <w:t>以对事物进行评价为目的，依据指标体系、评价方法等要素构成的整体系统。</w:t>
      </w:r>
    </w:p>
    <w:p w14:paraId="4686D89E">
      <w:pPr>
        <w:pStyle w:val="16"/>
        <w:spacing w:before="0" w:line="360" w:lineRule="auto"/>
        <w:ind w:firstLine="0"/>
        <w:rPr>
          <w:rFonts w:ascii="Times New Roman" w:hAnsi="Times New Roman" w:cs="Times New Roman" w:eastAsiaTheme="minorEastAsia"/>
          <w:sz w:val="21"/>
          <w:szCs w:val="21"/>
        </w:rPr>
      </w:pPr>
      <w:bookmarkStart w:id="19" w:name="_Toc200814002"/>
      <w:r>
        <w:rPr>
          <w:rFonts w:ascii="Times New Roman" w:hAnsi="Times New Roman" w:cs="Times New Roman" w:eastAsiaTheme="minorEastAsia"/>
          <w:sz w:val="21"/>
          <w:szCs w:val="21"/>
        </w:rPr>
        <w:t>评价指标</w:t>
      </w:r>
      <w:bookmarkEnd w:id="19"/>
    </w:p>
    <w:p w14:paraId="3E31029C">
      <w:pPr>
        <w:pStyle w:val="5"/>
        <w:spacing w:before="0" w:line="360" w:lineRule="auto"/>
        <w:ind w:left="0" w:firstLine="404" w:firstLineChars="200"/>
        <w:contextualSpacing/>
        <w:jc w:val="both"/>
        <w:rPr>
          <w:rFonts w:ascii="Times New Roman" w:hAnsi="Times New Roman" w:cs="Times New Roman" w:eastAsiaTheme="minorEastAsia"/>
          <w:spacing w:val="-4"/>
        </w:rPr>
      </w:pPr>
      <w:r>
        <w:rPr>
          <w:rFonts w:ascii="Times New Roman" w:hAnsi="Times New Roman" w:cs="Times New Roman" w:eastAsiaTheme="minorEastAsia"/>
          <w:spacing w:val="-4"/>
        </w:rPr>
        <w:t>具体的、可观察的、可测量的评价内容。</w:t>
      </w:r>
      <w:bookmarkStart w:id="20" w:name="5_认证模式、评分办法及认证结果"/>
      <w:bookmarkEnd w:id="20"/>
    </w:p>
    <w:p w14:paraId="793DF302">
      <w:pPr>
        <w:pStyle w:val="2"/>
        <w:numPr>
          <w:ilvl w:val="0"/>
          <w:numId w:val="1"/>
        </w:numPr>
      </w:pPr>
      <w:bookmarkStart w:id="21" w:name="_Toc200814003"/>
      <w:bookmarkStart w:id="22" w:name="_Toc28838"/>
      <w:r>
        <w:t>认证模式、评分办法及认证结果</w:t>
      </w:r>
      <w:bookmarkEnd w:id="21"/>
      <w:bookmarkEnd w:id="22"/>
    </w:p>
    <w:p w14:paraId="58A099D9">
      <w:pPr>
        <w:pStyle w:val="16"/>
        <w:spacing w:before="0" w:line="360" w:lineRule="auto"/>
        <w:ind w:firstLine="0"/>
        <w:rPr>
          <w:rFonts w:ascii="Times New Roman" w:hAnsi="Times New Roman" w:cs="Times New Roman" w:eastAsiaTheme="minorEastAsia"/>
          <w:sz w:val="21"/>
          <w:szCs w:val="21"/>
        </w:rPr>
      </w:pPr>
      <w:bookmarkStart w:id="23" w:name="5.1_认证模式"/>
      <w:bookmarkEnd w:id="23"/>
      <w:bookmarkStart w:id="24" w:name="_Toc200814004"/>
      <w:r>
        <w:rPr>
          <w:rFonts w:ascii="Times New Roman" w:hAnsi="Times New Roman" w:cs="Times New Roman" w:eastAsiaTheme="minorEastAsia"/>
          <w:sz w:val="21"/>
          <w:szCs w:val="21"/>
        </w:rPr>
        <w:t>认证模式</w:t>
      </w:r>
      <w:bookmarkEnd w:id="24"/>
    </w:p>
    <w:p w14:paraId="40523804">
      <w:pPr>
        <w:pStyle w:val="16"/>
        <w:numPr>
          <w:ilvl w:val="1"/>
          <w:numId w:val="0"/>
        </w:numPr>
        <w:spacing w:before="0" w:line="360" w:lineRule="auto"/>
        <w:ind w:firstLine="420" w:firstLineChars="200"/>
        <w:outlineLvl w:val="1"/>
        <w:rPr>
          <w:rFonts w:hint="eastAsia" w:ascii="Times New Roman" w:hAnsi="Times New Roman" w:cs="Times New Roman" w:eastAsiaTheme="minorEastAsia"/>
          <w:sz w:val="21"/>
          <w:szCs w:val="21"/>
        </w:rPr>
      </w:pPr>
      <w:r>
        <w:rPr>
          <w:rFonts w:hint="eastAsia" w:ascii="Times New Roman" w:hAnsi="Times New Roman" w:cs="Times New Roman" w:eastAsiaTheme="minorEastAsia"/>
          <w:sz w:val="21"/>
          <w:szCs w:val="21"/>
        </w:rPr>
        <w:t>认证模式：服务管理评价(管理体系审查)+服务特性评价(公开服务特性检验)</w:t>
      </w:r>
      <w:bookmarkStart w:id="25" w:name="_Toc18877"/>
    </w:p>
    <w:p w14:paraId="042FC836">
      <w:pPr>
        <w:pStyle w:val="16"/>
        <w:numPr>
          <w:ilvl w:val="1"/>
          <w:numId w:val="0"/>
        </w:numPr>
        <w:spacing w:before="0" w:line="360" w:lineRule="auto"/>
        <w:outlineLvl w:val="1"/>
        <w:rPr>
          <w:rFonts w:hint="eastAsia"/>
          <w:kern w:val="21"/>
          <w:sz w:val="21"/>
          <w:szCs w:val="21"/>
        </w:rPr>
      </w:pPr>
      <w:r>
        <w:rPr>
          <w:rFonts w:hint="eastAsia"/>
          <w:kern w:val="21"/>
          <w:sz w:val="21"/>
          <w:szCs w:val="21"/>
        </w:rPr>
        <w:t>5.</w:t>
      </w:r>
      <w:r>
        <w:rPr>
          <w:rFonts w:hint="eastAsia"/>
          <w:kern w:val="21"/>
          <w:sz w:val="21"/>
          <w:szCs w:val="21"/>
          <w:lang w:val="en-US" w:eastAsia="zh-CN"/>
        </w:rPr>
        <w:t>2</w:t>
      </w:r>
      <w:r>
        <w:rPr>
          <w:rFonts w:hint="eastAsia"/>
          <w:kern w:val="21"/>
          <w:sz w:val="21"/>
          <w:szCs w:val="21"/>
        </w:rPr>
        <w:t xml:space="preserve"> 认证的基本环节</w:t>
      </w:r>
      <w:bookmarkEnd w:id="25"/>
    </w:p>
    <w:p w14:paraId="38208381">
      <w:pPr>
        <w:pStyle w:val="5"/>
        <w:spacing w:before="0" w:line="360" w:lineRule="auto"/>
        <w:ind w:left="0" w:firstLine="420" w:firstLineChars="200"/>
        <w:contextualSpacing/>
        <w:jc w:val="both"/>
        <w:rPr>
          <w:rFonts w:hint="eastAsia"/>
          <w:kern w:val="21"/>
        </w:rPr>
      </w:pPr>
      <w:r>
        <w:rPr>
          <w:rFonts w:hint="eastAsia"/>
          <w:kern w:val="21"/>
        </w:rPr>
        <w:t>认证的主要环节包括：认证申请；现场审查；认证结果评价；公示；批准；认证后的监督。</w:t>
      </w:r>
    </w:p>
    <w:p w14:paraId="5261B511">
      <w:pPr>
        <w:pStyle w:val="5"/>
        <w:spacing w:before="0" w:line="360" w:lineRule="auto"/>
        <w:ind w:left="0"/>
        <w:contextualSpacing/>
        <w:jc w:val="both"/>
        <w:rPr>
          <w:rFonts w:hint="eastAsia"/>
          <w:kern w:val="21"/>
        </w:rPr>
      </w:pPr>
      <w:r>
        <w:rPr>
          <w:rFonts w:hint="eastAsia"/>
          <w:kern w:val="21"/>
        </w:rPr>
        <w:t>5.2.1 服务管理审核</w:t>
      </w:r>
    </w:p>
    <w:p w14:paraId="096C38C7">
      <w:pPr>
        <w:pStyle w:val="5"/>
        <w:spacing w:before="0" w:line="360" w:lineRule="auto"/>
        <w:ind w:left="0" w:firstLine="420" w:firstLineChars="200"/>
        <w:contextualSpacing/>
        <w:jc w:val="both"/>
        <w:rPr>
          <w:rFonts w:hint="eastAsia"/>
          <w:kern w:val="21"/>
        </w:rPr>
      </w:pPr>
      <w:r>
        <w:rPr>
          <w:rFonts w:hint="eastAsia"/>
          <w:kern w:val="21"/>
        </w:rPr>
        <w:t>审查组应按照确定审查准则，对受审查组织的</w:t>
      </w:r>
      <w:r>
        <w:rPr>
          <w:rFonts w:hint="eastAsia"/>
          <w:kern w:val="21"/>
          <w:lang w:val="en-US" w:eastAsia="zh-CN"/>
        </w:rPr>
        <w:t>商品售后</w:t>
      </w:r>
      <w:r>
        <w:rPr>
          <w:rFonts w:hint="eastAsia"/>
          <w:kern w:val="21"/>
        </w:rPr>
        <w:t>服务管理进行审查，其目的是证实服务持续符合服务规范或认证技术规范要求的能力。</w:t>
      </w:r>
      <w:r>
        <w:rPr>
          <w:rFonts w:hint="eastAsia"/>
          <w:kern w:val="21"/>
          <w:lang w:val="en-US" w:eastAsia="zh-CN"/>
        </w:rPr>
        <w:t>商品售后</w:t>
      </w:r>
      <w:r>
        <w:rPr>
          <w:rFonts w:hint="eastAsia"/>
          <w:kern w:val="21"/>
        </w:rPr>
        <w:t>服务审核至少需确认以下内容：</w:t>
      </w:r>
    </w:p>
    <w:p w14:paraId="17CAD77A">
      <w:pPr>
        <w:pStyle w:val="5"/>
        <w:spacing w:before="0" w:line="360" w:lineRule="auto"/>
        <w:ind w:left="0" w:firstLine="420" w:firstLineChars="200"/>
        <w:contextualSpacing/>
        <w:jc w:val="both"/>
        <w:rPr>
          <w:rFonts w:hint="eastAsia"/>
          <w:kern w:val="21"/>
        </w:rPr>
      </w:pPr>
      <w:r>
        <w:rPr>
          <w:rFonts w:hint="eastAsia"/>
          <w:kern w:val="21"/>
        </w:rPr>
        <w:t>1）对受审查组织的</w:t>
      </w:r>
      <w:r>
        <w:rPr>
          <w:rFonts w:hint="eastAsia"/>
          <w:kern w:val="21"/>
          <w:lang w:val="en-US" w:eastAsia="zh-CN"/>
        </w:rPr>
        <w:t>商品售后</w:t>
      </w:r>
      <w:r>
        <w:rPr>
          <w:rFonts w:hint="eastAsia"/>
          <w:kern w:val="21"/>
        </w:rPr>
        <w:t>服务能力审查，包括对与其</w:t>
      </w:r>
      <w:r>
        <w:rPr>
          <w:rFonts w:hint="eastAsia"/>
          <w:kern w:val="21"/>
          <w:lang w:val="en-US" w:eastAsia="zh-CN"/>
        </w:rPr>
        <w:t>商品售后</w:t>
      </w:r>
      <w:r>
        <w:rPr>
          <w:rFonts w:hint="eastAsia"/>
          <w:kern w:val="21"/>
        </w:rPr>
        <w:t>服务相关的结构、方针、过程、程序、记录及文件的现场审查；</w:t>
      </w:r>
    </w:p>
    <w:p w14:paraId="5BB92B1A">
      <w:pPr>
        <w:pStyle w:val="5"/>
        <w:spacing w:before="0" w:line="360" w:lineRule="auto"/>
        <w:ind w:left="0" w:firstLine="420" w:firstLineChars="200"/>
        <w:contextualSpacing/>
        <w:jc w:val="both"/>
        <w:rPr>
          <w:rFonts w:hint="eastAsia"/>
          <w:kern w:val="21"/>
        </w:rPr>
      </w:pPr>
      <w:r>
        <w:rPr>
          <w:rFonts w:hint="eastAsia"/>
          <w:kern w:val="21"/>
        </w:rPr>
        <w:t>2）人员及资源配置与管理；</w:t>
      </w:r>
    </w:p>
    <w:p w14:paraId="69B75EBB">
      <w:pPr>
        <w:pStyle w:val="5"/>
        <w:spacing w:before="0" w:line="360" w:lineRule="auto"/>
        <w:ind w:left="0" w:firstLine="420" w:firstLineChars="200"/>
        <w:contextualSpacing/>
        <w:jc w:val="both"/>
        <w:rPr>
          <w:rFonts w:hint="eastAsia"/>
          <w:kern w:val="21"/>
        </w:rPr>
      </w:pPr>
      <w:r>
        <w:rPr>
          <w:rFonts w:hint="eastAsia"/>
          <w:kern w:val="21"/>
        </w:rPr>
        <w:t>3）</w:t>
      </w:r>
      <w:r>
        <w:rPr>
          <w:rFonts w:hint="eastAsia"/>
          <w:kern w:val="21"/>
          <w:lang w:val="en-US" w:eastAsia="zh-CN"/>
        </w:rPr>
        <w:t>商品售后</w:t>
      </w:r>
      <w:r>
        <w:rPr>
          <w:rFonts w:hint="eastAsia"/>
          <w:kern w:val="21"/>
        </w:rPr>
        <w:t>服务特性控制及其运行管理；</w:t>
      </w:r>
    </w:p>
    <w:p w14:paraId="3ABA276B">
      <w:pPr>
        <w:pStyle w:val="5"/>
        <w:spacing w:before="0" w:line="360" w:lineRule="auto"/>
        <w:ind w:left="0" w:firstLine="420" w:firstLineChars="200"/>
        <w:contextualSpacing/>
        <w:jc w:val="both"/>
        <w:rPr>
          <w:rFonts w:hint="eastAsia"/>
          <w:kern w:val="21"/>
        </w:rPr>
      </w:pPr>
      <w:r>
        <w:rPr>
          <w:rFonts w:hint="eastAsia"/>
          <w:kern w:val="21"/>
        </w:rPr>
        <w:t>4）用于支持</w:t>
      </w:r>
      <w:r>
        <w:rPr>
          <w:rFonts w:hint="eastAsia"/>
          <w:kern w:val="21"/>
          <w:lang w:val="en-US" w:eastAsia="zh-CN"/>
        </w:rPr>
        <w:t>商品售后</w:t>
      </w:r>
      <w:r>
        <w:rPr>
          <w:rFonts w:hint="eastAsia"/>
          <w:kern w:val="21"/>
        </w:rPr>
        <w:t>服务的设施设备、服务用品、信息技术及相应的环境条件(如安全、环境)；</w:t>
      </w:r>
    </w:p>
    <w:p w14:paraId="1286F48A">
      <w:pPr>
        <w:pStyle w:val="5"/>
        <w:spacing w:before="0" w:line="360" w:lineRule="auto"/>
        <w:ind w:left="0" w:firstLine="420" w:firstLineChars="200"/>
        <w:contextualSpacing/>
        <w:jc w:val="both"/>
        <w:rPr>
          <w:rFonts w:hint="eastAsia"/>
          <w:kern w:val="21"/>
        </w:rPr>
      </w:pPr>
      <w:r>
        <w:rPr>
          <w:rFonts w:hint="eastAsia"/>
          <w:kern w:val="21"/>
        </w:rPr>
        <w:t>5）</w:t>
      </w:r>
      <w:r>
        <w:rPr>
          <w:rFonts w:hint="eastAsia"/>
          <w:kern w:val="21"/>
          <w:lang w:val="en-US" w:eastAsia="zh-CN"/>
        </w:rPr>
        <w:t>商品售后</w:t>
      </w:r>
      <w:r>
        <w:rPr>
          <w:rFonts w:hint="eastAsia"/>
          <w:kern w:val="21"/>
        </w:rPr>
        <w:t>服务承诺和顾客服务：</w:t>
      </w:r>
    </w:p>
    <w:p w14:paraId="5E5FFC3E">
      <w:pPr>
        <w:pStyle w:val="5"/>
        <w:spacing w:before="0" w:line="360" w:lineRule="auto"/>
        <w:ind w:left="0" w:firstLine="420" w:firstLineChars="200"/>
        <w:contextualSpacing/>
        <w:jc w:val="both"/>
        <w:rPr>
          <w:rFonts w:hint="eastAsia"/>
          <w:kern w:val="21"/>
        </w:rPr>
      </w:pPr>
      <w:r>
        <w:rPr>
          <w:rFonts w:hint="eastAsia"/>
          <w:kern w:val="21"/>
        </w:rPr>
        <w:t>6）对</w:t>
      </w:r>
      <w:r>
        <w:rPr>
          <w:rFonts w:hint="eastAsia"/>
          <w:kern w:val="21"/>
          <w:lang w:val="en-US" w:eastAsia="zh-CN"/>
        </w:rPr>
        <w:t>商品售后</w:t>
      </w:r>
      <w:r>
        <w:rPr>
          <w:rFonts w:hint="eastAsia"/>
          <w:kern w:val="21"/>
        </w:rPr>
        <w:t>服务中断或意外事件的响应和服务补救措施：</w:t>
      </w:r>
    </w:p>
    <w:p w14:paraId="235CB383">
      <w:pPr>
        <w:pStyle w:val="5"/>
        <w:spacing w:before="0" w:line="360" w:lineRule="auto"/>
        <w:ind w:left="0" w:firstLine="420" w:firstLineChars="200"/>
        <w:contextualSpacing/>
        <w:jc w:val="both"/>
        <w:rPr>
          <w:rFonts w:hint="eastAsia"/>
          <w:kern w:val="21"/>
        </w:rPr>
      </w:pPr>
      <w:r>
        <w:rPr>
          <w:rFonts w:hint="eastAsia"/>
          <w:kern w:val="21"/>
        </w:rPr>
        <w:t>7）争议的处置管理：</w:t>
      </w:r>
    </w:p>
    <w:p w14:paraId="365F6C07">
      <w:pPr>
        <w:pStyle w:val="5"/>
        <w:spacing w:before="0" w:line="360" w:lineRule="auto"/>
        <w:ind w:left="0" w:firstLine="420" w:firstLineChars="200"/>
        <w:contextualSpacing/>
        <w:jc w:val="both"/>
        <w:rPr>
          <w:rFonts w:hint="eastAsia"/>
          <w:kern w:val="21"/>
        </w:rPr>
      </w:pPr>
      <w:r>
        <w:rPr>
          <w:rFonts w:hint="eastAsia"/>
          <w:kern w:val="21"/>
        </w:rPr>
        <w:t>8）</w:t>
      </w:r>
      <w:r>
        <w:rPr>
          <w:rFonts w:hint="eastAsia"/>
          <w:kern w:val="21"/>
          <w:lang w:val="en-US" w:eastAsia="zh-CN"/>
        </w:rPr>
        <w:t>商品售后</w:t>
      </w:r>
      <w:r>
        <w:rPr>
          <w:rFonts w:hint="eastAsia"/>
          <w:kern w:val="21"/>
        </w:rPr>
        <w:t>服务投诉的处理。</w:t>
      </w:r>
    </w:p>
    <w:p w14:paraId="05C00E4E">
      <w:pPr>
        <w:pStyle w:val="5"/>
        <w:spacing w:before="0" w:line="360" w:lineRule="auto"/>
        <w:ind w:left="0"/>
        <w:contextualSpacing/>
        <w:jc w:val="both"/>
        <w:rPr>
          <w:rFonts w:hint="eastAsia"/>
          <w:kern w:val="21"/>
        </w:rPr>
      </w:pPr>
      <w:r>
        <w:rPr>
          <w:rFonts w:hint="eastAsia"/>
          <w:kern w:val="21"/>
        </w:rPr>
        <w:t>5.2.2 服务特性测评</w:t>
      </w:r>
    </w:p>
    <w:p w14:paraId="33F17DEF">
      <w:pPr>
        <w:pStyle w:val="5"/>
        <w:spacing w:before="0" w:line="360" w:lineRule="auto"/>
        <w:ind w:left="0" w:firstLine="420" w:firstLineChars="200"/>
        <w:contextualSpacing/>
        <w:jc w:val="both"/>
        <w:rPr>
          <w:rFonts w:hint="eastAsia"/>
          <w:kern w:val="21"/>
        </w:rPr>
      </w:pPr>
      <w:r>
        <w:rPr>
          <w:rFonts w:hint="eastAsia"/>
          <w:kern w:val="21"/>
        </w:rPr>
        <w:t>1）服务特性测评是指针对服务特性所进行的数据收集、综合测算与分析的过程，其目的是证实顾客服务“真实瞬间”的符合性。</w:t>
      </w:r>
    </w:p>
    <w:p w14:paraId="52790B1F">
      <w:pPr>
        <w:pStyle w:val="5"/>
        <w:spacing w:before="0" w:line="360" w:lineRule="auto"/>
        <w:ind w:left="0" w:firstLine="420" w:firstLineChars="200"/>
        <w:contextualSpacing/>
        <w:jc w:val="both"/>
        <w:rPr>
          <w:rFonts w:hint="eastAsia"/>
          <w:kern w:val="21"/>
        </w:rPr>
      </w:pPr>
      <w:r>
        <w:rPr>
          <w:rFonts w:hint="eastAsia"/>
          <w:kern w:val="21"/>
        </w:rPr>
        <w:t>2）FLH与申请组织在服务认证合同中约定</w:t>
      </w:r>
      <w:r>
        <w:rPr>
          <w:rFonts w:hint="eastAsia"/>
          <w:kern w:val="21"/>
          <w:lang w:val="en-US" w:eastAsia="zh-CN"/>
        </w:rPr>
        <w:t>商品售后</w:t>
      </w:r>
      <w:r>
        <w:rPr>
          <w:rFonts w:hint="eastAsia"/>
          <w:kern w:val="21"/>
        </w:rPr>
        <w:t>服务测评标准，服务测评标准应包括服务特性指标和服务过程质量指标；</w:t>
      </w:r>
    </w:p>
    <w:p w14:paraId="08AC812D">
      <w:pPr>
        <w:pStyle w:val="5"/>
        <w:spacing w:before="0" w:line="360" w:lineRule="auto"/>
        <w:ind w:left="0" w:firstLine="420" w:firstLineChars="200"/>
        <w:contextualSpacing/>
        <w:jc w:val="both"/>
        <w:rPr>
          <w:rFonts w:hint="eastAsia"/>
          <w:kern w:val="21"/>
        </w:rPr>
      </w:pPr>
      <w:r>
        <w:rPr>
          <w:rFonts w:hint="eastAsia"/>
          <w:kern w:val="21"/>
        </w:rPr>
        <w:t>3）审查组应根据适用的</w:t>
      </w:r>
      <w:r>
        <w:rPr>
          <w:rFonts w:hint="eastAsia"/>
          <w:kern w:val="21"/>
          <w:lang w:val="en-US" w:eastAsia="zh-CN"/>
        </w:rPr>
        <w:t>商品售后</w:t>
      </w:r>
      <w:r>
        <w:rPr>
          <w:rFonts w:hint="eastAsia"/>
          <w:kern w:val="21"/>
        </w:rPr>
        <w:t>服务特性测评标准，按规定的要求和方法对抽取的样本进行测评，以获取包括顾客服务、服务管理和服务支撑能力等相关的信息。</w:t>
      </w:r>
    </w:p>
    <w:p w14:paraId="5CE457D0">
      <w:pPr>
        <w:pStyle w:val="5"/>
        <w:spacing w:before="0" w:line="360" w:lineRule="auto"/>
        <w:ind w:left="0"/>
        <w:contextualSpacing/>
        <w:jc w:val="both"/>
        <w:rPr>
          <w:rFonts w:hint="eastAsia"/>
          <w:kern w:val="21"/>
        </w:rPr>
      </w:pPr>
      <w:r>
        <w:rPr>
          <w:rFonts w:hint="eastAsia"/>
          <w:kern w:val="21"/>
        </w:rPr>
        <w:t>5.2.3 暗访(必要时)</w:t>
      </w:r>
    </w:p>
    <w:p w14:paraId="3F09B6CE">
      <w:pPr>
        <w:pStyle w:val="5"/>
        <w:spacing w:before="0" w:line="360" w:lineRule="auto"/>
        <w:ind w:left="0" w:firstLine="420" w:firstLineChars="200"/>
        <w:contextualSpacing/>
        <w:jc w:val="both"/>
        <w:rPr>
          <w:rFonts w:hint="eastAsia"/>
          <w:kern w:val="21"/>
        </w:rPr>
      </w:pPr>
      <w:r>
        <w:rPr>
          <w:rFonts w:hint="eastAsia"/>
          <w:kern w:val="21"/>
        </w:rPr>
        <w:t>1）暗访是指具有资格和能力的人员，以顾客身份在服务组织不知情的情况下体验特定服务，或是通过观察服务组织对其顾客服务的情况，对服务特性测评的一种方式。</w:t>
      </w:r>
    </w:p>
    <w:p w14:paraId="72B6DA6B">
      <w:pPr>
        <w:pStyle w:val="5"/>
        <w:spacing w:before="0" w:line="360" w:lineRule="auto"/>
        <w:ind w:left="0" w:firstLine="420" w:firstLineChars="200"/>
        <w:contextualSpacing/>
        <w:jc w:val="both"/>
        <w:rPr>
          <w:rFonts w:hint="eastAsia"/>
          <w:kern w:val="21"/>
        </w:rPr>
      </w:pPr>
      <w:r>
        <w:rPr>
          <w:rFonts w:hint="eastAsia"/>
          <w:kern w:val="21"/>
        </w:rPr>
        <w:t>2）在现场审查时，审查组为证实顾客服务“真实瞬间”达到服务特性测评标准的程度，在必要时实施对申请人的暗访，以获取其服务的真实情况。</w:t>
      </w:r>
    </w:p>
    <w:p w14:paraId="6BE6360D">
      <w:pPr>
        <w:pStyle w:val="5"/>
        <w:spacing w:before="0" w:line="360" w:lineRule="auto"/>
        <w:ind w:left="0" w:firstLine="420" w:firstLineChars="200"/>
        <w:contextualSpacing/>
        <w:jc w:val="both"/>
        <w:rPr>
          <w:rFonts w:hint="eastAsia"/>
          <w:kern w:val="21"/>
        </w:rPr>
      </w:pPr>
      <w:r>
        <w:rPr>
          <w:rFonts w:hint="eastAsia"/>
          <w:kern w:val="21"/>
        </w:rPr>
        <w:t>3）在公开进行现场审查中，对抽取证据的真实性产生怀疑；</w:t>
      </w:r>
    </w:p>
    <w:p w14:paraId="79B4823C">
      <w:pPr>
        <w:pStyle w:val="5"/>
        <w:spacing w:before="0" w:line="360" w:lineRule="auto"/>
        <w:ind w:left="0" w:firstLine="420" w:firstLineChars="200"/>
        <w:contextualSpacing/>
        <w:jc w:val="both"/>
        <w:rPr>
          <w:rFonts w:hint="eastAsia"/>
          <w:kern w:val="21"/>
        </w:rPr>
      </w:pPr>
      <w:r>
        <w:rPr>
          <w:rFonts w:hint="eastAsia"/>
          <w:kern w:val="21"/>
        </w:rPr>
        <w:t>4）在相关方多次投诉中，涉及到与以往服务特性测评达标程度的重大偏差。暗访的范围、人员选择、过程要求及其审查按照审查方案及服务认证标准/规范的规定执行。</w:t>
      </w:r>
    </w:p>
    <w:p w14:paraId="4B34156C">
      <w:pPr>
        <w:pStyle w:val="5"/>
        <w:spacing w:before="0" w:line="360" w:lineRule="auto"/>
        <w:ind w:left="0" w:firstLine="420" w:firstLineChars="200"/>
        <w:contextualSpacing/>
        <w:jc w:val="both"/>
        <w:rPr>
          <w:rFonts w:ascii="Times New Roman" w:hAnsi="Times New Roman" w:cs="Times New Roman" w:eastAsiaTheme="minorEastAsia"/>
          <w:sz w:val="21"/>
          <w:szCs w:val="21"/>
        </w:rPr>
      </w:pPr>
      <w:r>
        <w:rPr>
          <w:rFonts w:hint="eastAsia"/>
          <w:kern w:val="21"/>
        </w:rPr>
        <w:t>5）审核组应根据受审查组织服务活动的特点来选择暗访的时机，暗访的实施不应诱使受审查组织产生负面的表现。</w:t>
      </w:r>
    </w:p>
    <w:p w14:paraId="0571D5D9">
      <w:pPr>
        <w:pStyle w:val="16"/>
        <w:numPr>
          <w:numId w:val="0"/>
        </w:numPr>
        <w:spacing w:before="0" w:line="360" w:lineRule="auto"/>
        <w:ind w:leftChars="0"/>
        <w:rPr>
          <w:rFonts w:ascii="Times New Roman" w:hAnsi="Times New Roman" w:cs="Times New Roman" w:eastAsiaTheme="minorEastAsia"/>
          <w:kern w:val="21"/>
          <w:sz w:val="21"/>
          <w:szCs w:val="21"/>
        </w:rPr>
      </w:pPr>
      <w:bookmarkStart w:id="26" w:name="5.2_评分办法"/>
      <w:bookmarkEnd w:id="26"/>
      <w:bookmarkStart w:id="27" w:name="_Toc200814005"/>
      <w:r>
        <w:rPr>
          <w:rFonts w:hint="eastAsia" w:ascii="Times New Roman" w:hAnsi="Times New Roman" w:cs="Times New Roman" w:eastAsiaTheme="minorEastAsia"/>
          <w:kern w:val="21"/>
          <w:sz w:val="21"/>
          <w:szCs w:val="21"/>
          <w:lang w:val="en-US" w:eastAsia="zh-CN"/>
        </w:rPr>
        <w:t xml:space="preserve">5.3 </w:t>
      </w:r>
      <w:r>
        <w:rPr>
          <w:rFonts w:ascii="Times New Roman" w:hAnsi="Times New Roman" w:cs="Times New Roman" w:eastAsiaTheme="minorEastAsia"/>
          <w:kern w:val="21"/>
          <w:sz w:val="21"/>
          <w:szCs w:val="21"/>
        </w:rPr>
        <w:t>评分办法</w:t>
      </w:r>
      <w:bookmarkEnd w:id="27"/>
    </w:p>
    <w:p w14:paraId="7B25A30C">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商品售后服务评价时，对各项指标采取评分的方法，满分为100分，具体分为售后服务体系、商品服务、顾客服务。评分的依据是调查发现的按照本标准规定的评价指标的实施情况。</w:t>
      </w:r>
    </w:p>
    <w:p w14:paraId="6DECEC8E">
      <w:pPr>
        <w:pStyle w:val="16"/>
        <w:numPr>
          <w:ilvl w:val="1"/>
          <w:numId w:val="0"/>
        </w:numPr>
        <w:tabs>
          <w:tab w:val="left" w:pos="857"/>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w:t>
      </w:r>
      <w:r>
        <w:rPr>
          <w:rFonts w:hint="eastAsia" w:ascii="Times New Roman" w:hAnsi="Times New Roman" w:cs="Times New Roman" w:eastAsiaTheme="minorEastAsia"/>
          <w:kern w:val="21"/>
          <w:sz w:val="21"/>
          <w:szCs w:val="21"/>
          <w:lang w:val="en-US" w:eastAsia="zh-CN"/>
        </w:rPr>
        <w:t>3</w:t>
      </w:r>
      <w:r>
        <w:rPr>
          <w:rFonts w:hint="eastAsia" w:ascii="Times New Roman" w:hAnsi="Times New Roman" w:cs="Times New Roman" w:eastAsiaTheme="minorEastAsia"/>
          <w:kern w:val="21"/>
          <w:sz w:val="21"/>
          <w:szCs w:val="21"/>
        </w:rPr>
        <w:t xml:space="preserve">.1  </w:t>
      </w:r>
      <w:r>
        <w:rPr>
          <w:rFonts w:ascii="Times New Roman" w:hAnsi="Times New Roman" w:cs="Times New Roman" w:eastAsiaTheme="minorEastAsia"/>
          <w:kern w:val="21"/>
          <w:sz w:val="21"/>
          <w:szCs w:val="21"/>
        </w:rPr>
        <w:t>分值确定</w:t>
      </w:r>
    </w:p>
    <w:p w14:paraId="353C04B0">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商品售后服务体系40分，商品服务为35分，顾客服务为25分。</w:t>
      </w:r>
    </w:p>
    <w:p w14:paraId="5A8CAC94">
      <w:pPr>
        <w:pStyle w:val="16"/>
        <w:numPr>
          <w:ilvl w:val="1"/>
          <w:numId w:val="0"/>
        </w:numPr>
        <w:tabs>
          <w:tab w:val="left" w:pos="857"/>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w:t>
      </w:r>
      <w:r>
        <w:rPr>
          <w:rFonts w:hint="eastAsia" w:ascii="Times New Roman" w:hAnsi="Times New Roman" w:cs="Times New Roman" w:eastAsiaTheme="minorEastAsia"/>
          <w:kern w:val="21"/>
          <w:sz w:val="21"/>
          <w:szCs w:val="21"/>
          <w:lang w:val="en-US" w:eastAsia="zh-CN"/>
        </w:rPr>
        <w:t>3</w:t>
      </w:r>
      <w:r>
        <w:rPr>
          <w:rFonts w:hint="eastAsia" w:ascii="Times New Roman" w:hAnsi="Times New Roman" w:cs="Times New Roman" w:eastAsiaTheme="minorEastAsia"/>
          <w:kern w:val="21"/>
          <w:sz w:val="21"/>
          <w:szCs w:val="21"/>
        </w:rPr>
        <w:t xml:space="preserve">.2 </w:t>
      </w:r>
      <w:r>
        <w:rPr>
          <w:rFonts w:ascii="Times New Roman" w:hAnsi="Times New Roman" w:cs="Times New Roman" w:eastAsiaTheme="minorEastAsia"/>
          <w:kern w:val="21"/>
          <w:sz w:val="21"/>
          <w:szCs w:val="21"/>
        </w:rPr>
        <w:t>服务星级评定</w:t>
      </w:r>
    </w:p>
    <w:p w14:paraId="61C57F08">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最终评分达到70分以上（含70分）为最低要求；70分以下，或特别扣分项达到5个以上（含5个），为评价不合格。</w:t>
      </w:r>
    </w:p>
    <w:p w14:paraId="70A74ADE">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对于评分达到70分以上（含70分），按照以下要求进行级别划分：</w:t>
      </w:r>
    </w:p>
    <w:p w14:paraId="5CF0153E">
      <w:pPr>
        <w:pStyle w:val="5"/>
        <w:tabs>
          <w:tab w:val="left" w:pos="0"/>
        </w:tabs>
        <w:spacing w:before="0" w:line="360" w:lineRule="auto"/>
        <w:ind w:left="0" w:firstLine="420" w:firstLineChars="200"/>
        <w:contextualSpacing/>
        <w:jc w:val="both"/>
        <w:rPr>
          <w:rFonts w:ascii="Times New Roman" w:hAnsi="Times New Roman" w:cs="Times New Roman" w:eastAsiaTheme="minorEastAsia"/>
          <w:kern w:val="21"/>
        </w:rPr>
      </w:pPr>
      <w:r>
        <w:rPr>
          <w:rFonts w:hint="eastAsia" w:ascii="Times New Roman" w:hAnsi="Times New Roman" w:cs="Times New Roman" w:eastAsiaTheme="minorEastAsia"/>
          <w:kern w:val="21"/>
        </w:rPr>
        <w:t>1）</w:t>
      </w:r>
      <w:r>
        <w:rPr>
          <w:rFonts w:ascii="Times New Roman" w:hAnsi="Times New Roman" w:cs="Times New Roman" w:eastAsiaTheme="minorEastAsia"/>
          <w:kern w:val="21"/>
        </w:rPr>
        <w:t>达到70分以上（含70分），达标级售后服务；</w:t>
      </w:r>
    </w:p>
    <w:p w14:paraId="016BC943">
      <w:pPr>
        <w:pStyle w:val="16"/>
        <w:numPr>
          <w:ilvl w:val="1"/>
          <w:numId w:val="0"/>
        </w:numPr>
        <w:tabs>
          <w:tab w:val="left" w:pos="845"/>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达到80分以上（含80分），三星级售后服务；</w:t>
      </w:r>
    </w:p>
    <w:p w14:paraId="1F14CBBC">
      <w:pPr>
        <w:pStyle w:val="16"/>
        <w:numPr>
          <w:ilvl w:val="1"/>
          <w:numId w:val="0"/>
        </w:numPr>
        <w:tabs>
          <w:tab w:val="left" w:pos="84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达到90分以上（含90分），四星级售后服务；</w:t>
      </w:r>
    </w:p>
    <w:p w14:paraId="7BD8AE35">
      <w:pPr>
        <w:pStyle w:val="16"/>
        <w:numPr>
          <w:ilvl w:val="1"/>
          <w:numId w:val="0"/>
        </w:numPr>
        <w:tabs>
          <w:tab w:val="left" w:pos="84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达到95分以上（含95分），五星级售后服务。</w:t>
      </w:r>
    </w:p>
    <w:p w14:paraId="42A01476">
      <w:pPr>
        <w:pStyle w:val="16"/>
        <w:spacing w:before="0" w:line="360" w:lineRule="auto"/>
        <w:ind w:firstLine="0"/>
        <w:rPr>
          <w:rFonts w:ascii="Times New Roman" w:hAnsi="Times New Roman" w:cs="Times New Roman" w:eastAsiaTheme="minorEastAsia"/>
          <w:sz w:val="21"/>
          <w:szCs w:val="21"/>
        </w:rPr>
      </w:pPr>
      <w:bookmarkStart w:id="28" w:name="5.3_认证结果"/>
      <w:bookmarkEnd w:id="28"/>
      <w:bookmarkStart w:id="29" w:name="_Toc200814006"/>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认证结果</w:t>
      </w:r>
      <w:bookmarkEnd w:id="29"/>
    </w:p>
    <w:p w14:paraId="123DD600">
      <w:pPr>
        <w:pStyle w:val="5"/>
        <w:spacing w:before="0" w:line="360" w:lineRule="auto"/>
        <w:ind w:left="0" w:firstLine="416" w:firstLineChars="200"/>
        <w:contextualSpacing/>
        <w:jc w:val="both"/>
        <w:rPr>
          <w:rFonts w:ascii="Times New Roman" w:hAnsi="Times New Roman" w:cs="Times New Roman" w:eastAsiaTheme="minorEastAsia"/>
        </w:rPr>
      </w:pPr>
      <w:r>
        <w:rPr>
          <w:rFonts w:ascii="Times New Roman" w:hAnsi="Times New Roman" w:cs="Times New Roman" w:eastAsiaTheme="minorEastAsia"/>
          <w:spacing w:val="-1"/>
        </w:rPr>
        <w:t>商品售后服务评价体系认证结果通常采星级评价形式。</w:t>
      </w:r>
    </w:p>
    <w:p w14:paraId="69477D63">
      <w:pPr>
        <w:pStyle w:val="5"/>
        <w:spacing w:before="0" w:line="360" w:lineRule="auto"/>
        <w:ind w:left="0" w:firstLine="412" w:firstLineChars="200"/>
        <w:contextualSpacing/>
        <w:jc w:val="both"/>
        <w:rPr>
          <w:rFonts w:ascii="Times New Roman" w:hAnsi="Times New Roman" w:cs="Times New Roman" w:eastAsiaTheme="minorEastAsia"/>
          <w:spacing w:val="-4"/>
        </w:rPr>
      </w:pPr>
      <w:r>
        <w:rPr>
          <w:rFonts w:ascii="Times New Roman" w:hAnsi="Times New Roman" w:cs="Times New Roman" w:eastAsiaTheme="minorEastAsia"/>
          <w:spacing w:val="-2"/>
        </w:rPr>
        <w:t>采用星级评价时，如果最终审查未达到达标分数，则审查结果为不合格，不予通过服务认证审查，并至少在半年后方可继续申请。如果最终审查达到达标分数，则审查结果为合格，按测评分数评定相应星级；原则上达到三星及以上的组织才可以颁发相应级别的服务认证证书，低于三星级别的组织仅提供审</w:t>
      </w:r>
      <w:r>
        <w:rPr>
          <w:rFonts w:ascii="Times New Roman" w:hAnsi="Times New Roman" w:cs="Times New Roman" w:eastAsiaTheme="minorEastAsia"/>
          <w:spacing w:val="-4"/>
        </w:rPr>
        <w:t>查报告。</w:t>
      </w:r>
    </w:p>
    <w:p w14:paraId="76A2326D">
      <w:pPr>
        <w:pStyle w:val="2"/>
        <w:numPr>
          <w:ilvl w:val="0"/>
          <w:numId w:val="1"/>
        </w:numPr>
      </w:pPr>
      <w:bookmarkStart w:id="30" w:name="6_认证过程管理"/>
      <w:bookmarkEnd w:id="30"/>
      <w:bookmarkStart w:id="31" w:name="_Toc200814007"/>
      <w:bookmarkStart w:id="32" w:name="_Toc1681"/>
      <w:r>
        <w:t>认证过程管理</w:t>
      </w:r>
      <w:bookmarkEnd w:id="31"/>
      <w:bookmarkEnd w:id="32"/>
    </w:p>
    <w:p w14:paraId="47757C47">
      <w:pPr>
        <w:pStyle w:val="16"/>
        <w:spacing w:before="0" w:line="360" w:lineRule="auto"/>
        <w:ind w:firstLine="0"/>
        <w:rPr>
          <w:rFonts w:ascii="Times New Roman" w:hAnsi="Times New Roman" w:cs="Times New Roman" w:eastAsiaTheme="minorEastAsia"/>
          <w:sz w:val="21"/>
          <w:szCs w:val="21"/>
        </w:rPr>
      </w:pPr>
      <w:bookmarkStart w:id="33" w:name="6.1_询问和申请"/>
      <w:bookmarkEnd w:id="33"/>
      <w:bookmarkStart w:id="34" w:name="_Toc200814008"/>
      <w:r>
        <w:rPr>
          <w:rFonts w:ascii="Times New Roman" w:hAnsi="Times New Roman" w:cs="Times New Roman" w:eastAsiaTheme="minorEastAsia"/>
          <w:sz w:val="21"/>
          <w:szCs w:val="21"/>
        </w:rPr>
        <w:t>询问和申请</w:t>
      </w:r>
      <w:bookmarkEnd w:id="34"/>
    </w:p>
    <w:p w14:paraId="012D933A">
      <w:pPr>
        <w:pStyle w:val="16"/>
        <w:numPr>
          <w:ilvl w:val="2"/>
          <w:numId w:val="2"/>
        </w:numPr>
        <w:tabs>
          <w:tab w:val="left" w:pos="850"/>
        </w:tabs>
        <w:spacing w:before="0" w:line="360" w:lineRule="auto"/>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应向申请认证的组织说明关于履行任何相关法律义务的情况，以便FLH确定申请认证的组织是否具备申请认证资格和条件。</w:t>
      </w:r>
    </w:p>
    <w:p w14:paraId="4C75CCF8">
      <w:pPr>
        <w:pStyle w:val="16"/>
        <w:numPr>
          <w:ilvl w:val="2"/>
          <w:numId w:val="2"/>
        </w:numPr>
        <w:tabs>
          <w:tab w:val="left" w:pos="850"/>
        </w:tabs>
        <w:spacing w:before="0" w:line="360" w:lineRule="auto"/>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申请组织的授权代表签署《</w:t>
      </w:r>
      <w:r>
        <w:rPr>
          <w:rFonts w:hint="eastAsia" w:ascii="Times New Roman" w:hAnsi="Times New Roman" w:cs="Times New Roman" w:eastAsiaTheme="minorEastAsia"/>
          <w:sz w:val="21"/>
          <w:szCs w:val="21"/>
        </w:rPr>
        <w:t>服务认证申请及信息调查表</w:t>
      </w:r>
      <w:r>
        <w:rPr>
          <w:rFonts w:ascii="Times New Roman" w:hAnsi="Times New Roman" w:cs="Times New Roman" w:eastAsiaTheme="minorEastAsia"/>
          <w:sz w:val="21"/>
          <w:szCs w:val="21"/>
        </w:rPr>
        <w:t>》，并至少提供以下必要的申请信息：</w:t>
      </w:r>
    </w:p>
    <w:p w14:paraId="5E452913">
      <w:pPr>
        <w:pStyle w:val="16"/>
        <w:numPr>
          <w:ilvl w:val="0"/>
          <w:numId w:val="3"/>
        </w:numPr>
        <w:tabs>
          <w:tab w:val="left" w:pos="870"/>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取得国家工商行政部门或有关机构注册登记的法人资格或从事相关服务的资质和任何行政许可（适用时）；</w:t>
      </w:r>
    </w:p>
    <w:p w14:paraId="1E45A12F">
      <w:pPr>
        <w:pStyle w:val="16"/>
        <w:numPr>
          <w:ilvl w:val="0"/>
          <w:numId w:val="3"/>
        </w:numPr>
        <w:tabs>
          <w:tab w:val="left" w:pos="841"/>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申请认证的组织名称、地址及其服务提供场所的必要信息，涉及多个服务场所时，应列明各场所的名称、地址及其服务内容；</w:t>
      </w:r>
    </w:p>
    <w:p w14:paraId="70455566">
      <w:pPr>
        <w:pStyle w:val="16"/>
        <w:numPr>
          <w:ilvl w:val="0"/>
          <w:numId w:val="3"/>
        </w:numPr>
        <w:tabs>
          <w:tab w:val="left" w:pos="845"/>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拟认证的服务信息，包括：服务范围、服务内容、服务流程，以及适用时为服务运作提供支持的服务设施；</w:t>
      </w:r>
    </w:p>
    <w:p w14:paraId="2EEA1547">
      <w:pPr>
        <w:pStyle w:val="16"/>
        <w:numPr>
          <w:ilvl w:val="0"/>
          <w:numId w:val="3"/>
        </w:numPr>
        <w:tabs>
          <w:tab w:val="left" w:pos="853"/>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影响服务符合性的任何外包过程的信息；</w:t>
      </w:r>
    </w:p>
    <w:p w14:paraId="653F1BEF">
      <w:pPr>
        <w:pStyle w:val="16"/>
        <w:numPr>
          <w:ilvl w:val="0"/>
          <w:numId w:val="3"/>
        </w:numPr>
        <w:tabs>
          <w:tab w:val="left" w:pos="853"/>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认证的标准或其他规范性文件；</w:t>
      </w:r>
    </w:p>
    <w:p w14:paraId="411F832E">
      <w:pPr>
        <w:pStyle w:val="16"/>
        <w:numPr>
          <w:ilvl w:val="0"/>
          <w:numId w:val="3"/>
        </w:numPr>
        <w:tabs>
          <w:tab w:val="left" w:pos="853"/>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申请组织已按认证标准/规范要求建立并实施的管理制度，且能提供</w:t>
      </w: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3</w:t>
      </w: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个月以上的运行记录；</w:t>
      </w:r>
    </w:p>
    <w:p w14:paraId="70F85001">
      <w:pPr>
        <w:pStyle w:val="16"/>
        <w:numPr>
          <w:ilvl w:val="0"/>
          <w:numId w:val="3"/>
        </w:numPr>
        <w:tabs>
          <w:tab w:val="left" w:pos="841"/>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申请组织申请星级评价时，申请组织需提供自评报告（报告应按照评分标准逐条列明组织现有水平、评分分值）；</w:t>
      </w:r>
    </w:p>
    <w:p w14:paraId="01221D78">
      <w:pPr>
        <w:pStyle w:val="16"/>
        <w:numPr>
          <w:ilvl w:val="0"/>
          <w:numId w:val="3"/>
        </w:numPr>
        <w:tabs>
          <w:tab w:val="left" w:pos="845"/>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申请组织承诺获得认证发生与认证范围有关的重大事故并及时向认证机构声明；</w:t>
      </w:r>
    </w:p>
    <w:p w14:paraId="14D135AD">
      <w:pPr>
        <w:pStyle w:val="16"/>
        <w:numPr>
          <w:ilvl w:val="0"/>
          <w:numId w:val="3"/>
        </w:numPr>
        <w:tabs>
          <w:tab w:val="left" w:pos="858"/>
        </w:tabs>
        <w:spacing w:before="0" w:line="360" w:lineRule="auto"/>
        <w:contextualSpacing/>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其他特殊要求，如特殊的语言、环境、安全要求等。</w:t>
      </w:r>
    </w:p>
    <w:p w14:paraId="3904E05A">
      <w:pPr>
        <w:pStyle w:val="16"/>
        <w:spacing w:before="0" w:line="360" w:lineRule="auto"/>
        <w:ind w:firstLine="0"/>
        <w:rPr>
          <w:rFonts w:ascii="Times New Roman" w:hAnsi="Times New Roman" w:cs="Times New Roman" w:eastAsiaTheme="minorEastAsia"/>
          <w:sz w:val="21"/>
          <w:szCs w:val="21"/>
        </w:rPr>
      </w:pPr>
      <w:bookmarkStart w:id="35" w:name="6.2_申请评审"/>
      <w:bookmarkEnd w:id="35"/>
      <w:bookmarkStart w:id="36" w:name="_Toc200814009"/>
      <w:r>
        <w:rPr>
          <w:rFonts w:ascii="Times New Roman" w:hAnsi="Times New Roman" w:cs="Times New Roman" w:eastAsiaTheme="minorEastAsia"/>
          <w:sz w:val="21"/>
          <w:szCs w:val="21"/>
        </w:rPr>
        <w:t>申请评审</w:t>
      </w:r>
      <w:bookmarkEnd w:id="36"/>
      <w:bookmarkStart w:id="37" w:name="6.2.1_申请条件"/>
      <w:bookmarkEnd w:id="37"/>
    </w:p>
    <w:p w14:paraId="0B1FAC03">
      <w:pPr>
        <w:pStyle w:val="16"/>
        <w:numPr>
          <w:ilvl w:val="0"/>
          <w:numId w:val="4"/>
        </w:numPr>
        <w:tabs>
          <w:tab w:val="left" w:pos="850"/>
        </w:tabs>
        <w:spacing w:before="0" w:line="360" w:lineRule="auto"/>
        <w:ind w:left="0" w:firstLine="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申请条件</w:t>
      </w:r>
    </w:p>
    <w:p w14:paraId="591699A6">
      <w:pPr>
        <w:pStyle w:val="5"/>
        <w:spacing w:before="0" w:line="360" w:lineRule="auto"/>
        <w:ind w:left="0" w:firstLine="420" w:firstLineChars="200"/>
        <w:contextualSpacing/>
        <w:jc w:val="both"/>
        <w:rPr>
          <w:rFonts w:ascii="Times New Roman" w:hAnsi="Times New Roman" w:cs="Times New Roman" w:eastAsiaTheme="minorEastAsia"/>
        </w:rPr>
      </w:pPr>
      <w:r>
        <w:rPr>
          <w:rFonts w:ascii="Times New Roman" w:hAnsi="Times New Roman" w:cs="Times New Roman" w:eastAsiaTheme="minorEastAsia"/>
        </w:rPr>
        <w:t>申请商品售后服务认证的组织需满足以下基本条件：</w:t>
      </w:r>
    </w:p>
    <w:p w14:paraId="62D8726D">
      <w:pPr>
        <w:tabs>
          <w:tab w:val="left" w:pos="841"/>
        </w:tabs>
        <w:spacing w:line="360" w:lineRule="auto"/>
        <w:contextualSpacing/>
        <w:jc w:val="both"/>
        <w:rPr>
          <w:rFonts w:hint="eastAsia"/>
          <w:sz w:val="21"/>
          <w:szCs w:val="21"/>
        </w:rPr>
      </w:pPr>
      <w:bookmarkStart w:id="38" w:name="6.2.2_申请认证"/>
      <w:bookmarkEnd w:id="38"/>
      <w:r>
        <w:rPr>
          <w:rFonts w:hint="eastAsia"/>
          <w:sz w:val="21"/>
          <w:szCs w:val="21"/>
          <w:lang w:val="en-US" w:eastAsia="zh-CN"/>
        </w:rPr>
        <w:t>6</w:t>
      </w:r>
      <w:r>
        <w:rPr>
          <w:rFonts w:hint="eastAsia"/>
          <w:sz w:val="21"/>
          <w:szCs w:val="21"/>
        </w:rPr>
        <w:t>.</w:t>
      </w:r>
      <w:r>
        <w:rPr>
          <w:rFonts w:hint="eastAsia"/>
          <w:sz w:val="21"/>
          <w:szCs w:val="21"/>
          <w:lang w:val="en-US" w:eastAsia="zh-CN"/>
        </w:rPr>
        <w:t>2</w:t>
      </w:r>
      <w:r>
        <w:rPr>
          <w:rFonts w:hint="eastAsia"/>
          <w:sz w:val="21"/>
          <w:szCs w:val="21"/>
        </w:rPr>
        <w:t>.1</w:t>
      </w:r>
      <w:r>
        <w:rPr>
          <w:rFonts w:hint="eastAsia"/>
          <w:sz w:val="21"/>
          <w:szCs w:val="21"/>
          <w:lang w:val="en-US" w:eastAsia="zh-CN"/>
        </w:rPr>
        <w:t>.1</w:t>
      </w:r>
      <w:r>
        <w:rPr>
          <w:rFonts w:hint="eastAsia"/>
          <w:sz w:val="21"/>
          <w:szCs w:val="21"/>
        </w:rPr>
        <w:t xml:space="preserve"> 认证机构应向认证委托人至少公开以下信息：</w:t>
      </w:r>
    </w:p>
    <w:p w14:paraId="24AA9864">
      <w:pPr>
        <w:tabs>
          <w:tab w:val="left" w:pos="841"/>
        </w:tabs>
        <w:spacing w:line="360" w:lineRule="auto"/>
        <w:ind w:left="454"/>
        <w:contextualSpacing/>
        <w:jc w:val="both"/>
        <w:rPr>
          <w:rFonts w:hint="eastAsia"/>
          <w:sz w:val="21"/>
          <w:szCs w:val="21"/>
        </w:rPr>
      </w:pPr>
      <w:r>
        <w:rPr>
          <w:rFonts w:hint="eastAsia"/>
          <w:sz w:val="21"/>
          <w:szCs w:val="21"/>
        </w:rPr>
        <w:t>可开展的认证业务范围，获得认可的情况， 以及分包境外认证机构业务的情况；</w:t>
      </w:r>
    </w:p>
    <w:p w14:paraId="3FA4F12C">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开展</w:t>
      </w:r>
      <w:r>
        <w:rPr>
          <w:rFonts w:hint="eastAsia"/>
          <w:sz w:val="21"/>
          <w:szCs w:val="21"/>
          <w:lang w:val="en-US" w:eastAsia="zh-CN"/>
        </w:rPr>
        <w:t>商品售后</w:t>
      </w:r>
      <w:r>
        <w:rPr>
          <w:rFonts w:hint="eastAsia"/>
          <w:sz w:val="21"/>
          <w:szCs w:val="21"/>
        </w:rPr>
        <w:t>服务认证活动所依据的认证标准以及相关的认证方案、认证流程；</w:t>
      </w:r>
    </w:p>
    <w:p w14:paraId="35C4EB58">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授予、拒绝、保持、更新、暂停（恢复）、注销、撤销认证证书以及扩大或缩小认证范围的程序规定；</w:t>
      </w:r>
    </w:p>
    <w:p w14:paraId="5E8557F3">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拟向认证委托人获取的信息以及保密规定；</w:t>
      </w:r>
    </w:p>
    <w:p w14:paraId="3C8BDBF8">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认证收费标准；</w:t>
      </w:r>
    </w:p>
    <w:p w14:paraId="5C829900">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认证证书、认证标志及相关的使用规定；</w:t>
      </w:r>
    </w:p>
    <w:p w14:paraId="19348206">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对认证过程和结果的申诉、投诉规定；</w:t>
      </w:r>
    </w:p>
    <w:p w14:paraId="0E6CDEAC">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认证标准换版的规定（适用时）；</w:t>
      </w:r>
    </w:p>
    <w:p w14:paraId="01A732B2">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“提前较短时间通知的审核” 的情形；</w:t>
      </w:r>
    </w:p>
    <w:p w14:paraId="065091B6">
      <w:pPr>
        <w:pStyle w:val="16"/>
        <w:numPr>
          <w:ilvl w:val="0"/>
          <w:numId w:val="5"/>
        </w:numPr>
        <w:tabs>
          <w:tab w:val="left" w:pos="841"/>
        </w:tabs>
        <w:spacing w:before="0" w:line="360" w:lineRule="auto"/>
        <w:contextualSpacing/>
        <w:jc w:val="both"/>
        <w:rPr>
          <w:rFonts w:hint="eastAsia"/>
          <w:sz w:val="21"/>
          <w:szCs w:val="21"/>
        </w:rPr>
      </w:pPr>
      <w:r>
        <w:rPr>
          <w:rFonts w:hint="eastAsia"/>
          <w:sz w:val="21"/>
          <w:szCs w:val="21"/>
        </w:rPr>
        <w:t>其他需要公开的信息。</w:t>
      </w:r>
    </w:p>
    <w:p w14:paraId="5BF2ABB0">
      <w:pPr>
        <w:tabs>
          <w:tab w:val="left" w:pos="841"/>
        </w:tabs>
        <w:spacing w:line="360" w:lineRule="auto"/>
        <w:contextualSpacing/>
        <w:jc w:val="both"/>
        <w:rPr>
          <w:rFonts w:hint="eastAsia"/>
          <w:sz w:val="21"/>
          <w:szCs w:val="21"/>
        </w:rPr>
      </w:pPr>
      <w:r>
        <w:rPr>
          <w:rFonts w:hint="eastAsia"/>
          <w:sz w:val="21"/>
          <w:szCs w:val="21"/>
          <w:lang w:val="en-US" w:eastAsia="zh-CN"/>
        </w:rPr>
        <w:t>6</w:t>
      </w:r>
      <w:r>
        <w:rPr>
          <w:rFonts w:hint="eastAsia"/>
          <w:sz w:val="21"/>
          <w:szCs w:val="21"/>
        </w:rPr>
        <w:t>.</w:t>
      </w:r>
      <w:r>
        <w:rPr>
          <w:rFonts w:hint="eastAsia"/>
          <w:sz w:val="21"/>
          <w:szCs w:val="21"/>
          <w:lang w:val="en-US" w:eastAsia="zh-CN"/>
        </w:rPr>
        <w:t>2</w:t>
      </w:r>
      <w:r>
        <w:rPr>
          <w:rFonts w:hint="eastAsia"/>
          <w:sz w:val="21"/>
          <w:szCs w:val="21"/>
        </w:rPr>
        <w:t>.</w:t>
      </w:r>
      <w:r>
        <w:rPr>
          <w:rFonts w:hint="eastAsia"/>
          <w:sz w:val="21"/>
          <w:szCs w:val="21"/>
          <w:lang w:val="en-US" w:eastAsia="zh-CN"/>
        </w:rPr>
        <w:t>1.2</w:t>
      </w:r>
      <w:r>
        <w:rPr>
          <w:rFonts w:hint="eastAsia"/>
          <w:sz w:val="21"/>
          <w:szCs w:val="21"/>
        </w:rPr>
        <w:t xml:space="preserve"> 提出认证申请时，认证委托人应具备以下条件：</w:t>
      </w:r>
    </w:p>
    <w:p w14:paraId="07B16999">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取得合法主体资格，并处于有效期内；</w:t>
      </w:r>
    </w:p>
    <w:p w14:paraId="3C2CC0F7">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取得相关法律法规规定的行政许可（适用时），并处于有效期内；</w:t>
      </w:r>
    </w:p>
    <w:p w14:paraId="1BF387EB">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已按认证标准建立</w:t>
      </w:r>
      <w:r>
        <w:rPr>
          <w:rFonts w:hint="eastAsia"/>
          <w:sz w:val="21"/>
          <w:szCs w:val="21"/>
          <w:lang w:val="en-US" w:eastAsia="zh-CN"/>
        </w:rPr>
        <w:t>商品售后</w:t>
      </w:r>
      <w:r>
        <w:rPr>
          <w:rFonts w:hint="eastAsia"/>
          <w:sz w:val="21"/>
          <w:szCs w:val="21"/>
        </w:rPr>
        <w:t>服务</w:t>
      </w:r>
      <w:r>
        <w:rPr>
          <w:rFonts w:hint="eastAsia"/>
          <w:sz w:val="21"/>
          <w:szCs w:val="21"/>
          <w:lang w:val="en-US" w:eastAsia="zh-CN"/>
        </w:rPr>
        <w:t>评价体系</w:t>
      </w:r>
      <w:r>
        <w:rPr>
          <w:rFonts w:hint="eastAsia"/>
          <w:sz w:val="21"/>
          <w:szCs w:val="21"/>
        </w:rPr>
        <w:t>，且运行满三个月；</w:t>
      </w:r>
    </w:p>
    <w:p w14:paraId="68B20115">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因获证组织自身原因被原发证机构暂停或撤销认证证书已满一年（适用时）；</w:t>
      </w:r>
    </w:p>
    <w:p w14:paraId="0FE0841C">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原</w:t>
      </w:r>
      <w:r>
        <w:rPr>
          <w:rFonts w:hint="eastAsia"/>
          <w:sz w:val="21"/>
          <w:szCs w:val="21"/>
          <w:lang w:val="en-US" w:eastAsia="zh-CN"/>
        </w:rPr>
        <w:t>商品售后</w:t>
      </w:r>
      <w:r>
        <w:rPr>
          <w:rFonts w:hint="eastAsia"/>
          <w:sz w:val="21"/>
          <w:szCs w:val="21"/>
        </w:rPr>
        <w:t>服务认证证书发证机构被国家认监委撤销认证资质已满三个月（适用时）；</w:t>
      </w:r>
    </w:p>
    <w:p w14:paraId="3338D4DA">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当前未被行政监管部门责令停产停业整顿；</w:t>
      </w:r>
    </w:p>
    <w:p w14:paraId="264A8F41">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当前未列入 “ 国家企业信用信息公示系统”和 “信用中国”发布的严重违法失信名单；</w:t>
      </w:r>
    </w:p>
    <w:p w14:paraId="15668536">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一年内未发生被行政监管部门责令停产停业整顿的重大质量事故；</w:t>
      </w:r>
    </w:p>
    <w:p w14:paraId="19111EDE">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一年内申请认证范围内的产品未发生产品质量国家监督抽查不合格，或发生产品质量国家监督抽查不合格但已按相关规定整改合格；</w:t>
      </w:r>
    </w:p>
    <w:p w14:paraId="40D9F19B">
      <w:pPr>
        <w:pStyle w:val="16"/>
        <w:numPr>
          <w:ilvl w:val="0"/>
          <w:numId w:val="6"/>
        </w:numPr>
        <w:tabs>
          <w:tab w:val="left" w:pos="841"/>
        </w:tabs>
        <w:spacing w:before="0" w:line="360" w:lineRule="auto"/>
        <w:contextualSpacing/>
        <w:jc w:val="both"/>
        <w:rPr>
          <w:rFonts w:hint="eastAsia"/>
          <w:sz w:val="21"/>
          <w:szCs w:val="21"/>
        </w:rPr>
      </w:pPr>
      <w:r>
        <w:rPr>
          <w:rFonts w:hint="eastAsia"/>
          <w:sz w:val="21"/>
          <w:szCs w:val="21"/>
        </w:rPr>
        <w:t>其他应具备的条件。</w:t>
      </w:r>
    </w:p>
    <w:p w14:paraId="0416A1AD">
      <w:pPr>
        <w:tabs>
          <w:tab w:val="left" w:pos="841"/>
        </w:tabs>
        <w:spacing w:line="360" w:lineRule="auto"/>
        <w:contextualSpacing/>
        <w:jc w:val="both"/>
        <w:rPr>
          <w:rFonts w:hint="eastAsia"/>
          <w:sz w:val="21"/>
          <w:szCs w:val="21"/>
        </w:rPr>
      </w:pPr>
      <w:r>
        <w:rPr>
          <w:rFonts w:hint="eastAsia"/>
          <w:sz w:val="21"/>
          <w:szCs w:val="21"/>
          <w:lang w:val="en-US" w:eastAsia="zh-CN"/>
        </w:rPr>
        <w:t>6</w:t>
      </w:r>
      <w:r>
        <w:rPr>
          <w:rFonts w:hint="eastAsia"/>
          <w:sz w:val="21"/>
          <w:szCs w:val="21"/>
        </w:rPr>
        <w:t>.</w:t>
      </w:r>
      <w:r>
        <w:rPr>
          <w:rFonts w:hint="eastAsia"/>
          <w:sz w:val="21"/>
          <w:szCs w:val="21"/>
          <w:lang w:val="en-US" w:eastAsia="zh-CN"/>
        </w:rPr>
        <w:t>2</w:t>
      </w:r>
      <w:r>
        <w:rPr>
          <w:rFonts w:hint="eastAsia"/>
          <w:sz w:val="21"/>
          <w:szCs w:val="21"/>
        </w:rPr>
        <w:t>.</w:t>
      </w:r>
      <w:r>
        <w:rPr>
          <w:rFonts w:hint="eastAsia"/>
          <w:sz w:val="21"/>
          <w:szCs w:val="21"/>
          <w:lang w:val="en-US" w:eastAsia="zh-CN"/>
        </w:rPr>
        <w:t xml:space="preserve">1.3 </w:t>
      </w:r>
      <w:r>
        <w:rPr>
          <w:rFonts w:hint="eastAsia"/>
          <w:sz w:val="21"/>
          <w:szCs w:val="21"/>
        </w:rPr>
        <w:t>认证机构应要求认证委托人提供以下信息和文件资料：</w:t>
      </w:r>
    </w:p>
    <w:p w14:paraId="73451F92">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认证申请，包括认证委托人的名称、地址、认证依据的标准、 申请的认证范围、认证范围内人员数量及影响体系有效性的外包过程；</w:t>
      </w:r>
    </w:p>
    <w:p w14:paraId="3DD906F2">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法律地位的证明文件， 当</w:t>
      </w:r>
      <w:r>
        <w:rPr>
          <w:rFonts w:hint="eastAsia"/>
          <w:sz w:val="21"/>
          <w:szCs w:val="21"/>
          <w:lang w:val="en-US" w:eastAsia="zh-CN"/>
        </w:rPr>
        <w:t>商品售后</w:t>
      </w:r>
      <w:r>
        <w:rPr>
          <w:rFonts w:hint="eastAsia"/>
          <w:sz w:val="21"/>
          <w:szCs w:val="21"/>
        </w:rPr>
        <w:t>服务认证覆盖多个法律实体时，应提供每个法律实体的法律地位证明文件；</w:t>
      </w:r>
    </w:p>
    <w:p w14:paraId="49EC42C3">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申请认证范围所涉及的质量法律法规要求的行政许可文件、资质证书、强制性产品认证证书等；</w:t>
      </w:r>
    </w:p>
    <w:p w14:paraId="07CA0C4F">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组织机构及职责；</w:t>
      </w:r>
    </w:p>
    <w:p w14:paraId="6D46E187">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生产/服务的流程、班次及轮班情况和季节性信息；</w:t>
      </w:r>
    </w:p>
    <w:p w14:paraId="5346E609">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lang w:val="en-US" w:eastAsia="zh-CN"/>
        </w:rPr>
        <w:t>商品售后</w:t>
      </w:r>
      <w:r>
        <w:rPr>
          <w:rFonts w:hint="eastAsia"/>
          <w:sz w:val="21"/>
          <w:szCs w:val="21"/>
        </w:rPr>
        <w:t>服务运行满三个月的证据；</w:t>
      </w:r>
    </w:p>
    <w:p w14:paraId="61F3D9FC">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一年内所发生的质量事故、与质量相关的行政处罚、产品质量国家监督抽查不合格、其他质量抽查不合格的情况以及整改情况（适用时）；</w:t>
      </w:r>
    </w:p>
    <w:p w14:paraId="62FE75E8">
      <w:pPr>
        <w:pStyle w:val="16"/>
        <w:numPr>
          <w:ilvl w:val="0"/>
          <w:numId w:val="7"/>
        </w:numPr>
        <w:tabs>
          <w:tab w:val="left" w:pos="841"/>
        </w:tabs>
        <w:spacing w:before="0" w:line="360" w:lineRule="auto"/>
        <w:contextualSpacing/>
        <w:jc w:val="both"/>
        <w:rPr>
          <w:rFonts w:hint="eastAsia"/>
          <w:sz w:val="21"/>
          <w:szCs w:val="21"/>
        </w:rPr>
      </w:pPr>
      <w:r>
        <w:rPr>
          <w:rFonts w:hint="eastAsia"/>
          <w:sz w:val="21"/>
          <w:szCs w:val="21"/>
        </w:rPr>
        <w:t>其他需要提供的文件。</w:t>
      </w:r>
    </w:p>
    <w:p w14:paraId="0DCE6607">
      <w:pPr>
        <w:pStyle w:val="16"/>
        <w:numPr>
          <w:ilvl w:val="0"/>
          <w:numId w:val="4"/>
        </w:numPr>
        <w:tabs>
          <w:tab w:val="left" w:pos="850"/>
        </w:tabs>
        <w:spacing w:before="0" w:line="360" w:lineRule="auto"/>
        <w:ind w:left="0" w:firstLine="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申请认证</w:t>
      </w:r>
    </w:p>
    <w:p w14:paraId="422CE074">
      <w:pPr>
        <w:pStyle w:val="16"/>
        <w:numPr>
          <w:ilvl w:val="0"/>
          <w:numId w:val="8"/>
        </w:numPr>
        <w:tabs>
          <w:tab w:val="left" w:pos="1486"/>
        </w:tabs>
        <w:spacing w:before="0" w:line="360" w:lineRule="auto"/>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受理范围包括以下类型的组织：</w:t>
      </w:r>
    </w:p>
    <w:p w14:paraId="4EAB87AC">
      <w:pPr>
        <w:pStyle w:val="16"/>
        <w:numPr>
          <w:ilvl w:val="1"/>
          <w:numId w:val="0"/>
        </w:numPr>
        <w:tabs>
          <w:tab w:val="left" w:pos="858"/>
        </w:tabs>
        <w:spacing w:before="0" w:line="360" w:lineRule="auto"/>
        <w:ind w:firstLine="420"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1）</w:t>
      </w:r>
      <w:r>
        <w:rPr>
          <w:rFonts w:ascii="Times New Roman" w:hAnsi="Times New Roman" w:cs="Times New Roman" w:eastAsiaTheme="minorEastAsia"/>
          <w:sz w:val="21"/>
          <w:szCs w:val="21"/>
        </w:rPr>
        <w:t>开展商品和无形产品销售业务并进行售后服务管理的组织；</w:t>
      </w:r>
    </w:p>
    <w:p w14:paraId="2580C0E8">
      <w:pPr>
        <w:pStyle w:val="16"/>
        <w:numPr>
          <w:ilvl w:val="1"/>
          <w:numId w:val="0"/>
        </w:numPr>
        <w:tabs>
          <w:tab w:val="left" w:pos="853"/>
        </w:tabs>
        <w:spacing w:before="0" w:line="360" w:lineRule="auto"/>
        <w:ind w:firstLine="420" w:firstLineChars="200"/>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2）</w:t>
      </w:r>
      <w:r>
        <w:rPr>
          <w:rFonts w:ascii="Times New Roman" w:hAnsi="Times New Roman" w:cs="Times New Roman" w:eastAsiaTheme="minorEastAsia"/>
          <w:sz w:val="21"/>
          <w:szCs w:val="21"/>
        </w:rPr>
        <w:t>专业从事商品售后服务工作的组织；</w:t>
      </w:r>
    </w:p>
    <w:p w14:paraId="57753B94">
      <w:pPr>
        <w:pStyle w:val="16"/>
        <w:numPr>
          <w:ilvl w:val="0"/>
          <w:numId w:val="8"/>
        </w:numPr>
        <w:tabs>
          <w:tab w:val="left" w:pos="1493"/>
        </w:tabs>
        <w:spacing w:before="0" w:line="360" w:lineRule="auto"/>
        <w:contextualSpacing/>
        <w:jc w:val="both"/>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 xml:space="preserve"> </w:t>
      </w:r>
      <w:r>
        <w:rPr>
          <w:rFonts w:ascii="Times New Roman" w:hAnsi="Times New Roman" w:cs="Times New Roman" w:eastAsiaTheme="minorEastAsia"/>
          <w:sz w:val="21"/>
          <w:szCs w:val="21"/>
        </w:rPr>
        <w:t>申请商品售后服务认证的组织应当向FLH提交书面申请书并提供所需资料：</w:t>
      </w:r>
    </w:p>
    <w:p w14:paraId="477B788D">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w:t>
      </w:r>
      <w:r>
        <w:rPr>
          <w:rFonts w:ascii="Times New Roman" w:hAnsi="Times New Roman" w:cs="Times New Roman" w:eastAsiaTheme="minorEastAsia"/>
          <w:kern w:val="21"/>
          <w:sz w:val="21"/>
          <w:szCs w:val="21"/>
        </w:rPr>
        <w:t>认证申请书，包括申请认证的服务范围等情况的说明。</w:t>
      </w:r>
    </w:p>
    <w:p w14:paraId="66CCA69E">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法律地位证明文件的复印件。</w:t>
      </w:r>
    </w:p>
    <w:p w14:paraId="5420DCBB">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适用时所涉及法律法规要求的从事相关服务的资质和任何行政许可等的复印件，如：服务/卫生/经营许可证等。</w:t>
      </w:r>
    </w:p>
    <w:p w14:paraId="0BC0C9E7">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产品销售网点/售后服务网点清单。</w:t>
      </w:r>
    </w:p>
    <w:p w14:paraId="7E0E5FD5">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w:t>
      </w:r>
      <w:r>
        <w:rPr>
          <w:rFonts w:ascii="Times New Roman" w:hAnsi="Times New Roman" w:cs="Times New Roman" w:eastAsiaTheme="minorEastAsia"/>
          <w:kern w:val="21"/>
          <w:sz w:val="21"/>
          <w:szCs w:val="21"/>
        </w:rPr>
        <w:t>现行有效的商品售后服务管理体系文件及文件清单（体系应至少有效运行3个月）。</w:t>
      </w:r>
    </w:p>
    <w:p w14:paraId="087F6212">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w:t>
      </w:r>
      <w:r>
        <w:rPr>
          <w:rFonts w:ascii="Times New Roman" w:hAnsi="Times New Roman" w:cs="Times New Roman" w:eastAsiaTheme="minorEastAsia"/>
          <w:kern w:val="21"/>
          <w:sz w:val="21"/>
          <w:szCs w:val="21"/>
        </w:rPr>
        <w:t>与服务过程相关的法律法规、规范和标准清单。</w:t>
      </w:r>
    </w:p>
    <w:p w14:paraId="19E21167">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7）</w:t>
      </w:r>
      <w:r>
        <w:rPr>
          <w:rFonts w:ascii="Times New Roman" w:hAnsi="Times New Roman" w:cs="Times New Roman" w:eastAsiaTheme="minorEastAsia"/>
          <w:kern w:val="21"/>
          <w:sz w:val="21"/>
          <w:szCs w:val="21"/>
        </w:rPr>
        <w:t>申报服务活动的详细说明，主要的服务流程以及适用时为服务运作提供支持的主要服务设施。</w:t>
      </w:r>
    </w:p>
    <w:p w14:paraId="10C24D20">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8）</w:t>
      </w:r>
      <w:r>
        <w:rPr>
          <w:rFonts w:ascii="Times New Roman" w:hAnsi="Times New Roman" w:cs="Times New Roman" w:eastAsiaTheme="minorEastAsia"/>
          <w:kern w:val="21"/>
          <w:sz w:val="21"/>
          <w:szCs w:val="21"/>
        </w:rPr>
        <w:t>组织简介（包括本单位经营范围、规模、特色、实力，在国内外同行业中利税、技术、产量、质量、销售等方面的地位）；</w:t>
      </w:r>
    </w:p>
    <w:p w14:paraId="09157AA7">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9）</w:t>
      </w:r>
      <w:r>
        <w:rPr>
          <w:rFonts w:ascii="Times New Roman" w:hAnsi="Times New Roman" w:cs="Times New Roman" w:eastAsiaTheme="minorEastAsia"/>
          <w:kern w:val="21"/>
          <w:sz w:val="21"/>
          <w:szCs w:val="21"/>
        </w:rPr>
        <w:t>组织机构图</w:t>
      </w:r>
      <w:r>
        <w:rPr>
          <w:rFonts w:hint="eastAsia" w:ascii="Times New Roman" w:hAnsi="Times New Roman" w:cs="Times New Roman" w:eastAsiaTheme="minorEastAsia"/>
          <w:kern w:val="21"/>
          <w:sz w:val="21"/>
          <w:szCs w:val="21"/>
        </w:rPr>
        <w:t>：</w:t>
      </w:r>
      <w:r>
        <w:rPr>
          <w:rFonts w:ascii="Times New Roman" w:hAnsi="Times New Roman" w:cs="Calibri" w:eastAsiaTheme="minorEastAsia"/>
          <w:kern w:val="21"/>
          <w:sz w:val="21"/>
          <w:szCs w:val="21"/>
        </w:rPr>
        <w:t>①</w:t>
      </w:r>
      <w:r>
        <w:rPr>
          <w:rFonts w:ascii="Times New Roman" w:hAnsi="Times New Roman" w:cs="Times New Roman" w:eastAsiaTheme="minorEastAsia"/>
          <w:kern w:val="21"/>
          <w:sz w:val="21"/>
          <w:szCs w:val="21"/>
        </w:rPr>
        <w:t>总的组织机构图；</w:t>
      </w:r>
      <w:r>
        <w:rPr>
          <w:rFonts w:ascii="Times New Roman" w:hAnsi="Times New Roman" w:cs="Calibri" w:eastAsiaTheme="minorEastAsia"/>
          <w:kern w:val="21"/>
          <w:sz w:val="21"/>
          <w:szCs w:val="21"/>
        </w:rPr>
        <w:t>②</w:t>
      </w:r>
      <w:r>
        <w:rPr>
          <w:rFonts w:ascii="Times New Roman" w:hAnsi="Times New Roman" w:cs="Times New Roman" w:eastAsiaTheme="minorEastAsia"/>
          <w:kern w:val="21"/>
          <w:sz w:val="21"/>
          <w:szCs w:val="21"/>
        </w:rPr>
        <w:t>售后服务体系有关部门组织机构图</w:t>
      </w:r>
      <w:r>
        <w:rPr>
          <w:rFonts w:hint="eastAsia" w:ascii="Times New Roman" w:hAnsi="Times New Roman" w:cs="Times New Roman" w:eastAsiaTheme="minorEastAsia"/>
          <w:kern w:val="21"/>
          <w:sz w:val="21"/>
          <w:szCs w:val="21"/>
        </w:rPr>
        <w:t>。</w:t>
      </w:r>
    </w:p>
    <w:p w14:paraId="180F0AB9">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10）</w:t>
      </w:r>
      <w:r>
        <w:rPr>
          <w:rFonts w:ascii="Times New Roman" w:hAnsi="Times New Roman" w:cs="Times New Roman" w:eastAsiaTheme="minorEastAsia"/>
          <w:kern w:val="21"/>
          <w:sz w:val="21"/>
          <w:szCs w:val="21"/>
        </w:rPr>
        <w:t>已获其他认证情况。</w:t>
      </w:r>
    </w:p>
    <w:p w14:paraId="141B1B93">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11）</w:t>
      </w:r>
      <w:r>
        <w:rPr>
          <w:rFonts w:ascii="Times New Roman" w:hAnsi="Times New Roman" w:cs="Times New Roman" w:eastAsiaTheme="minorEastAsia"/>
          <w:kern w:val="21"/>
          <w:sz w:val="21"/>
          <w:szCs w:val="21"/>
        </w:rPr>
        <w:t>组织依据GB/T27922进行的自我评价报告。</w:t>
      </w:r>
    </w:p>
    <w:p w14:paraId="6EFD8B00">
      <w:pPr>
        <w:pStyle w:val="16"/>
        <w:numPr>
          <w:ilvl w:val="1"/>
          <w:numId w:val="0"/>
        </w:numPr>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12）</w:t>
      </w:r>
      <w:r>
        <w:rPr>
          <w:rFonts w:ascii="Times New Roman" w:hAnsi="Times New Roman" w:cs="Times New Roman" w:eastAsiaTheme="minorEastAsia"/>
          <w:kern w:val="21"/>
          <w:sz w:val="21"/>
          <w:szCs w:val="21"/>
        </w:rPr>
        <w:t>其他与认证评价有关的必要文件。</w:t>
      </w:r>
    </w:p>
    <w:p w14:paraId="0FCA6C79">
      <w:pPr>
        <w:pStyle w:val="16"/>
        <w:numPr>
          <w:ilvl w:val="0"/>
          <w:numId w:val="4"/>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39" w:name="6.2.3_申请评审"/>
      <w:bookmarkEnd w:id="39"/>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申请评审</w:t>
      </w:r>
    </w:p>
    <w:p w14:paraId="63B01FF8">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FLH应根据认证依据、程序等要求对组织提交的申请资料进行评审并保存评审记录，以确定：</w:t>
      </w:r>
    </w:p>
    <w:p w14:paraId="76C747E7">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hint="eastAsia" w:ascii="Times New Roman" w:hAnsi="Times New Roman" w:cs="Times New Roman" w:eastAsiaTheme="minorEastAsia"/>
          <w:kern w:val="21"/>
        </w:rPr>
        <w:t>1）</w:t>
      </w:r>
      <w:r>
        <w:rPr>
          <w:rFonts w:ascii="Times New Roman" w:hAnsi="Times New Roman" w:cs="Times New Roman" w:eastAsiaTheme="minorEastAsia"/>
          <w:kern w:val="21"/>
        </w:rPr>
        <w:t>认证过程所需的客户信息和服务信息是充分的；</w:t>
      </w:r>
    </w:p>
    <w:p w14:paraId="561E6ED0">
      <w:pPr>
        <w:pStyle w:val="16"/>
        <w:numPr>
          <w:ilvl w:val="1"/>
          <w:numId w:val="0"/>
        </w:numPr>
        <w:tabs>
          <w:tab w:val="left" w:pos="858"/>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对申请认证客户提供的资料进行评审，确定其是否满足商品售后服务认证相关准则/规范及FLH的要求；</w:t>
      </w:r>
    </w:p>
    <w:p w14:paraId="688E122D">
      <w:pPr>
        <w:pStyle w:val="16"/>
        <w:numPr>
          <w:ilvl w:val="1"/>
          <w:numId w:val="0"/>
        </w:numPr>
        <w:tabs>
          <w:tab w:val="left" w:pos="845"/>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与认证客户沟通以解决双方在任何已知的理解上的分歧，包括在相关标准或规范性文件方面达成一致；</w:t>
      </w:r>
    </w:p>
    <w:p w14:paraId="2D5C48C7">
      <w:pPr>
        <w:pStyle w:val="16"/>
        <w:numPr>
          <w:ilvl w:val="1"/>
          <w:numId w:val="0"/>
        </w:numPr>
        <w:tabs>
          <w:tab w:val="left" w:pos="84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认证范围、审查人日得到确定；</w:t>
      </w:r>
    </w:p>
    <w:p w14:paraId="4860BA82">
      <w:pPr>
        <w:pStyle w:val="16"/>
        <w:numPr>
          <w:ilvl w:val="1"/>
          <w:numId w:val="0"/>
        </w:numPr>
        <w:tabs>
          <w:tab w:val="left" w:pos="845"/>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w:t>
      </w:r>
      <w:r>
        <w:rPr>
          <w:rFonts w:ascii="Times New Roman" w:hAnsi="Times New Roman" w:cs="Times New Roman" w:eastAsiaTheme="minorEastAsia"/>
          <w:kern w:val="21"/>
          <w:sz w:val="21"/>
          <w:szCs w:val="21"/>
        </w:rPr>
        <w:t>实施所有认证活动的方法是可行的；</w:t>
      </w:r>
    </w:p>
    <w:p w14:paraId="41DFDA41">
      <w:pPr>
        <w:pStyle w:val="16"/>
        <w:numPr>
          <w:ilvl w:val="1"/>
          <w:numId w:val="0"/>
        </w:numPr>
        <w:tabs>
          <w:tab w:val="left" w:pos="853"/>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w:t>
      </w:r>
      <w:r>
        <w:rPr>
          <w:rFonts w:ascii="Times New Roman" w:hAnsi="Times New Roman" w:cs="Times New Roman" w:eastAsiaTheme="minorEastAsia"/>
          <w:kern w:val="21"/>
          <w:sz w:val="21"/>
          <w:szCs w:val="21"/>
        </w:rPr>
        <w:t>公司有能力并能够实施审查和进行认证决定及其他认证活动。</w:t>
      </w:r>
    </w:p>
    <w:p w14:paraId="43C4BEF6">
      <w:pPr>
        <w:pStyle w:val="16"/>
        <w:numPr>
          <w:ilvl w:val="0"/>
          <w:numId w:val="4"/>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40" w:name="6.2.4_不予通过的合同受理办法"/>
      <w:bookmarkEnd w:id="40"/>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不予通过的合同受理办法</w:t>
      </w:r>
    </w:p>
    <w:p w14:paraId="6DDECAEA">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对申请不通过的合同，由</w:t>
      </w:r>
      <w:r>
        <w:rPr>
          <w:rFonts w:hint="eastAsia" w:ascii="Times New Roman" w:hAnsi="Times New Roman" w:cs="Times New Roman" w:eastAsiaTheme="minorEastAsia"/>
          <w:kern w:val="21"/>
        </w:rPr>
        <w:t>客服部</w:t>
      </w:r>
      <w:r>
        <w:rPr>
          <w:rFonts w:ascii="Times New Roman" w:hAnsi="Times New Roman" w:cs="Times New Roman" w:eastAsiaTheme="minorEastAsia"/>
          <w:kern w:val="21"/>
        </w:rPr>
        <w:t>或申请方联系，洽谈澄清有关事实，取得一致意见后再次评审。如因其他原因构成不能受理的，则向申请方说明情况，发出《不予受理通知书》，按申请方要求退回有关资料。拒绝申请的原因应记录并使客户清楚。</w:t>
      </w:r>
    </w:p>
    <w:p w14:paraId="171B7443">
      <w:pPr>
        <w:pStyle w:val="16"/>
        <w:numPr>
          <w:ilvl w:val="0"/>
          <w:numId w:val="4"/>
        </w:numPr>
        <w:tabs>
          <w:tab w:val="left" w:pos="844"/>
        </w:tabs>
        <w:spacing w:before="0" w:line="360" w:lineRule="auto"/>
        <w:ind w:left="0" w:firstLine="0"/>
        <w:contextualSpacing/>
        <w:jc w:val="both"/>
        <w:rPr>
          <w:rFonts w:ascii="Times New Roman" w:hAnsi="Times New Roman" w:cs="Times New Roman" w:eastAsiaTheme="minorEastAsia"/>
          <w:kern w:val="21"/>
          <w:sz w:val="21"/>
          <w:szCs w:val="21"/>
        </w:rPr>
      </w:pPr>
      <w:bookmarkStart w:id="41" w:name="6.2.5_合同签订"/>
      <w:bookmarkEnd w:id="41"/>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合同签订</w:t>
      </w:r>
    </w:p>
    <w:p w14:paraId="1347EE8E">
      <w:pPr>
        <w:spacing w:line="360" w:lineRule="auto"/>
        <w:ind w:firstLine="420" w:firstLineChars="200"/>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在实施认证评价前，FLH应与申请组织订立具有法律效力的书面认证合同，合同应至少包含以下内容：</w:t>
      </w:r>
    </w:p>
    <w:p w14:paraId="49978A9D">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w:t>
      </w:r>
      <w:r>
        <w:rPr>
          <w:rFonts w:ascii="Times New Roman" w:hAnsi="Times New Roman" w:cs="Times New Roman" w:eastAsiaTheme="minorEastAsia"/>
          <w:kern w:val="21"/>
          <w:sz w:val="21"/>
          <w:szCs w:val="21"/>
        </w:rPr>
        <w:t>申请组织获得认证后持续有效运行商品售后服务体系的承诺。</w:t>
      </w:r>
    </w:p>
    <w:p w14:paraId="55AD7862">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请组织对遵守认证认可相关法律法规，协助认证监管部门的监督检查，对有关事项的询问和调查如实提供相关材料和信息的承诺。</w:t>
      </w:r>
    </w:p>
    <w:p w14:paraId="7AF02F26">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申请组织承诺获得认证后发生以下情况时，应及时向FLH通报：</w:t>
      </w:r>
    </w:p>
    <w:p w14:paraId="6B4DC60E">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微软雅黑" w:hAnsi="微软雅黑" w:eastAsia="微软雅黑" w:cs="微软雅黑"/>
          <w:kern w:val="21"/>
          <w:sz w:val="21"/>
          <w:szCs w:val="21"/>
        </w:rPr>
        <w:t>①</w:t>
      </w:r>
      <w:r>
        <w:rPr>
          <w:rFonts w:ascii="Times New Roman" w:hAnsi="Times New Roman" w:cs="Times New Roman" w:eastAsiaTheme="minorEastAsia"/>
          <w:kern w:val="21"/>
          <w:sz w:val="21"/>
          <w:szCs w:val="21"/>
        </w:rPr>
        <w:t>相关方有重大投诉。</w:t>
      </w:r>
    </w:p>
    <w:p w14:paraId="21B3EDAA">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微软雅黑" w:hAnsi="微软雅黑" w:eastAsia="微软雅黑" w:cs="微软雅黑"/>
          <w:kern w:val="21"/>
          <w:sz w:val="21"/>
          <w:szCs w:val="21"/>
        </w:rPr>
        <w:t>②</w:t>
      </w:r>
      <w:r>
        <w:rPr>
          <w:rFonts w:ascii="Times New Roman" w:hAnsi="Times New Roman" w:cs="Times New Roman" w:eastAsiaTheme="minorEastAsia"/>
          <w:kern w:val="21"/>
          <w:sz w:val="21"/>
          <w:szCs w:val="21"/>
        </w:rPr>
        <w:t>服务行为被执法监管部门认定不符合法定要求。</w:t>
      </w:r>
    </w:p>
    <w:p w14:paraId="0EB15FDD">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微软雅黑" w:hAnsi="微软雅黑" w:eastAsia="微软雅黑" w:cs="微软雅黑"/>
          <w:kern w:val="21"/>
          <w:sz w:val="21"/>
          <w:szCs w:val="21"/>
        </w:rPr>
        <w:t>③</w:t>
      </w:r>
      <w:r>
        <w:rPr>
          <w:rFonts w:ascii="Times New Roman" w:hAnsi="Times New Roman" w:cs="Times New Roman" w:eastAsiaTheme="minorEastAsia"/>
          <w:kern w:val="21"/>
          <w:sz w:val="21"/>
          <w:szCs w:val="21"/>
        </w:rPr>
        <w:t>发生严重的事故、媒体曝光或顾客投诉，经查实为获证组织责任的。</w:t>
      </w:r>
    </w:p>
    <w:p w14:paraId="45B7513D">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微软雅黑" w:hAnsi="微软雅黑" w:eastAsia="微软雅黑" w:cs="微软雅黑"/>
          <w:kern w:val="21"/>
          <w:sz w:val="21"/>
          <w:szCs w:val="21"/>
        </w:rPr>
        <w:t>④</w:t>
      </w:r>
      <w:r>
        <w:rPr>
          <w:rFonts w:ascii="Times New Roman" w:hAnsi="Times New Roman" w:cs="Times New Roman" w:eastAsiaTheme="minorEastAsia"/>
          <w:kern w:val="21"/>
          <w:sz w:val="21"/>
          <w:szCs w:val="21"/>
        </w:rPr>
        <w:t>相关情况发生变更，包括：法律地位、经营状况、组织状态或所有权变更；取得的服务的资质和任何行政许可资格变更；法定代表人、最高管理者、组织机构、有关职能等变更；服务活动和流程重大变更、服务管理体系和过程重大变更等。</w:t>
      </w:r>
    </w:p>
    <w:p w14:paraId="24B47498">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微软雅黑" w:hAnsi="微软雅黑" w:eastAsia="微软雅黑" w:cs="微软雅黑"/>
          <w:kern w:val="21"/>
          <w:sz w:val="21"/>
          <w:szCs w:val="21"/>
        </w:rPr>
        <w:t>⑤</w:t>
      </w:r>
      <w:r>
        <w:rPr>
          <w:rFonts w:ascii="Times New Roman" w:hAnsi="Times New Roman" w:cs="Times New Roman" w:eastAsiaTheme="minorEastAsia"/>
          <w:kern w:val="21"/>
          <w:sz w:val="21"/>
          <w:szCs w:val="21"/>
        </w:rPr>
        <w:t>出现其他重要情况。</w:t>
      </w:r>
    </w:p>
    <w:p w14:paraId="39E9A01E">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申请组织承诺获得认证后正确使用认证证书、认证标志和有关信息。</w:t>
      </w:r>
    </w:p>
    <w:p w14:paraId="52B081E1">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w:t>
      </w:r>
      <w:r>
        <w:rPr>
          <w:rFonts w:ascii="Times New Roman" w:hAnsi="Times New Roman" w:cs="Times New Roman" w:eastAsiaTheme="minorEastAsia"/>
          <w:kern w:val="21"/>
          <w:sz w:val="21"/>
          <w:szCs w:val="21"/>
        </w:rPr>
        <w:t>拟认证的服务活动范围。</w:t>
      </w:r>
    </w:p>
    <w:p w14:paraId="58736C8E">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w:t>
      </w:r>
      <w:r>
        <w:rPr>
          <w:rFonts w:ascii="Times New Roman" w:hAnsi="Times New Roman" w:cs="Times New Roman" w:eastAsiaTheme="minorEastAsia"/>
          <w:kern w:val="21"/>
          <w:sz w:val="21"/>
          <w:szCs w:val="21"/>
        </w:rPr>
        <w:t>在认证评价实施过程及认证证书有效期内，FLH和申请组织各自应当承担的责任、权利和义务。</w:t>
      </w:r>
    </w:p>
    <w:p w14:paraId="5F1858ED">
      <w:pPr>
        <w:pStyle w:val="16"/>
        <w:numPr>
          <w:ilvl w:val="1"/>
          <w:numId w:val="0"/>
        </w:numPr>
        <w:spacing w:before="0"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7）</w:t>
      </w:r>
      <w:r>
        <w:rPr>
          <w:rFonts w:ascii="Times New Roman" w:hAnsi="Times New Roman" w:cs="Times New Roman" w:eastAsiaTheme="minorEastAsia"/>
          <w:kern w:val="21"/>
          <w:sz w:val="21"/>
          <w:szCs w:val="21"/>
        </w:rPr>
        <w:t>认证服务的费用、付费方式及违约条款。</w:t>
      </w:r>
    </w:p>
    <w:p w14:paraId="44187807">
      <w:pPr>
        <w:pStyle w:val="16"/>
        <w:spacing w:before="0" w:line="360" w:lineRule="auto"/>
        <w:ind w:firstLine="0"/>
        <w:rPr>
          <w:rFonts w:ascii="Times New Roman" w:hAnsi="Times New Roman" w:cs="Times New Roman" w:eastAsiaTheme="minorEastAsia"/>
          <w:kern w:val="21"/>
          <w:sz w:val="21"/>
          <w:szCs w:val="21"/>
        </w:rPr>
      </w:pPr>
      <w:bookmarkStart w:id="42" w:name="6.3_审查方案的策划"/>
      <w:bookmarkEnd w:id="42"/>
      <w:bookmarkStart w:id="43" w:name="_Toc200814010"/>
      <w:r>
        <w:rPr>
          <w:rFonts w:ascii="Times New Roman" w:hAnsi="Times New Roman" w:cs="Times New Roman" w:eastAsiaTheme="minorEastAsia"/>
          <w:kern w:val="21"/>
          <w:sz w:val="21"/>
          <w:szCs w:val="21"/>
        </w:rPr>
        <w:t>审查方案的策划</w:t>
      </w:r>
      <w:bookmarkEnd w:id="43"/>
    </w:p>
    <w:p w14:paraId="79C18F03">
      <w:pPr>
        <w:pStyle w:val="16"/>
        <w:numPr>
          <w:ilvl w:val="0"/>
          <w:numId w:val="9"/>
        </w:numPr>
        <w:tabs>
          <w:tab w:val="left" w:pos="837"/>
        </w:tabs>
        <w:spacing w:before="0" w:line="360" w:lineRule="auto"/>
        <w:contextualSpacing/>
        <w:jc w:val="both"/>
        <w:rPr>
          <w:rFonts w:ascii="Times New Roman" w:hAnsi="Times New Roman" w:cs="Times New Roman" w:eastAsiaTheme="minorEastAsia"/>
          <w:kern w:val="21"/>
          <w:sz w:val="21"/>
          <w:szCs w:val="21"/>
        </w:rPr>
      </w:pPr>
      <w:bookmarkStart w:id="44" w:name="6.3.1_总要求"/>
      <w:bookmarkEnd w:id="44"/>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总要求</w:t>
      </w:r>
    </w:p>
    <w:p w14:paraId="11986A91">
      <w:pPr>
        <w:pStyle w:val="16"/>
        <w:numPr>
          <w:ilvl w:val="3"/>
          <w:numId w:val="1"/>
        </w:numPr>
        <w:tabs>
          <w:tab w:val="left" w:pos="1477"/>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方案管理人员应根据申请评审的结果，并将审查方案策划结果填写在《服务认证申请评审及审查方案策划单》中同时应传递到审查组，由审查组在现场确认，必要时根据审查组在现场确认的结果调整审查方案。</w:t>
      </w:r>
    </w:p>
    <w:p w14:paraId="1F3CF58C">
      <w:pPr>
        <w:pStyle w:val="16"/>
        <w:numPr>
          <w:ilvl w:val="3"/>
          <w:numId w:val="1"/>
        </w:numPr>
        <w:tabs>
          <w:tab w:val="left" w:pos="1477"/>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根据申请评审时已识别的特定的申请组织的具体情况分析对其实施审查和认证所需的能力，委派具备相应能力的审查组实施审查。当了解到特定的获证组织已发生变化时（特别是在监督审查、再认证审查方案策划时），审查方案管理人员应对原有的能力分析进行审查，必要时进行更新，并按更新后的能力需求委派具备相应能力的审查组实施审查，确保审查的有效性。</w:t>
      </w:r>
    </w:p>
    <w:p w14:paraId="00A4D088">
      <w:pPr>
        <w:pStyle w:val="16"/>
        <w:numPr>
          <w:ilvl w:val="3"/>
          <w:numId w:val="1"/>
        </w:numPr>
        <w:tabs>
          <w:tab w:val="left" w:pos="1477"/>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时间的策划FLH按要求策划每个申请认证的组织的初次审查、监督审查及再认证审查所需的审查时间。初次认证审查只有一次现场审查。确定受审查组织的审查时间时，应考虑申请组织的组织。结构和规模、服务产品和服务过程的范围与复杂程度，以及经证实的服务有效水平和历史审查结果，可以对后续的监督周期频次进行合理的调整，并记录做出调整的理由和结论。</w:t>
      </w:r>
    </w:p>
    <w:p w14:paraId="4DE0AE9F">
      <w:pPr>
        <w:pStyle w:val="16"/>
        <w:numPr>
          <w:ilvl w:val="3"/>
          <w:numId w:val="1"/>
        </w:numPr>
        <w:tabs>
          <w:tab w:val="left" w:pos="1477"/>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应考虑受审查组织是否有不允许FLH接触的包含保密性/敏感性的信息资产或FLH接触该类信息资产时应满足的特殊要求。同时应对客户不允许或者限制解除的信息资产对审查的影响进行评估并采取相应的措施。</w:t>
      </w:r>
      <w:bookmarkStart w:id="45" w:name="6.3.1.5_策划审查活动时，应考虑配置适宜的资源"/>
      <w:bookmarkEnd w:id="45"/>
    </w:p>
    <w:p w14:paraId="3F97F2F6">
      <w:pPr>
        <w:pStyle w:val="16"/>
        <w:numPr>
          <w:ilvl w:val="3"/>
          <w:numId w:val="1"/>
        </w:numPr>
        <w:tabs>
          <w:tab w:val="left" w:pos="1477"/>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策划审查活动时，应考虑配置适宜的资源，如内部资源、外部资源、专项技术及人力资源等。</w:t>
      </w:r>
    </w:p>
    <w:p w14:paraId="4350AD92">
      <w:pPr>
        <w:pStyle w:val="16"/>
        <w:numPr>
          <w:ilvl w:val="0"/>
          <w:numId w:val="9"/>
        </w:numPr>
        <w:tabs>
          <w:tab w:val="left" w:pos="844"/>
        </w:tabs>
        <w:spacing w:before="0" w:line="360" w:lineRule="auto"/>
        <w:contextualSpacing/>
        <w:jc w:val="both"/>
        <w:rPr>
          <w:rFonts w:ascii="Times New Roman" w:hAnsi="Times New Roman" w:cs="Times New Roman" w:eastAsiaTheme="minorEastAsia"/>
          <w:kern w:val="21"/>
          <w:sz w:val="21"/>
          <w:szCs w:val="21"/>
        </w:rPr>
      </w:pPr>
      <w:bookmarkStart w:id="46" w:name="6.3.2_基准审查时间"/>
      <w:bookmarkEnd w:id="46"/>
      <w:r>
        <w:rPr>
          <w:rFonts w:ascii="Times New Roman" w:hAnsi="Times New Roman" w:cs="Times New Roman" w:eastAsiaTheme="minorEastAsia"/>
          <w:kern w:val="21"/>
          <w:sz w:val="21"/>
          <w:szCs w:val="21"/>
        </w:rPr>
        <w:t>基准审查时间</w:t>
      </w:r>
    </w:p>
    <w:p w14:paraId="091F8A97">
      <w:pPr>
        <w:pStyle w:val="5"/>
        <w:spacing w:before="0" w:line="360" w:lineRule="auto"/>
        <w:ind w:left="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商品售后服务认证审查时间见附件一，附件一给出了组织有效员工数量与审查人天数，审查时间的确定应考虑（但不限于）以下方面：</w:t>
      </w:r>
    </w:p>
    <w:p w14:paraId="1A148073">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服务组织的行业特点、规模和运作的复杂程度；</w:t>
      </w:r>
    </w:p>
    <w:p w14:paraId="1F907B18">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服务场所的数量；</w:t>
      </w:r>
    </w:p>
    <w:p w14:paraId="04CF0DDB">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服务类别、评价范围；</w:t>
      </w:r>
    </w:p>
    <w:p w14:paraId="16533EA3">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技术和法规环境；</w:t>
      </w:r>
    </w:p>
    <w:p w14:paraId="1296AFE9">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服务接触方式；</w:t>
      </w:r>
    </w:p>
    <w:p w14:paraId="39E73611">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所使用的测评方法和技术；</w:t>
      </w:r>
    </w:p>
    <w:p w14:paraId="7611FB65">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服务活动的外包情况；</w:t>
      </w:r>
    </w:p>
    <w:p w14:paraId="2AE64E00">
      <w:pPr>
        <w:pStyle w:val="16"/>
        <w:numPr>
          <w:ilvl w:val="0"/>
          <w:numId w:val="10"/>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与服务活动相关联的风险；</w:t>
      </w:r>
    </w:p>
    <w:p w14:paraId="604B16A9">
      <w:pPr>
        <w:spacing w:line="360" w:lineRule="auto"/>
        <w:ind w:firstLine="420" w:firstLineChars="200"/>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注：如果与质量管理体系或其他体系认证实施结合审查，对于管理体系成熟度较高的组织，结合审查的人天数可做相应减少；对于多场所审查，应根据分场所人数、路途交通情况增加相应审查人天数，原则上每增加一个场所，应增加不少于1个现场审查人天数；在审查过程中，当工作语言超过一种，需要翻译或影响审查员个人独立工作时，应根据现场情况增加现场审查人天数，原则上应根据审查组人数来配置相应的翻译人员。</w:t>
      </w:r>
    </w:p>
    <w:p w14:paraId="3BB1483B">
      <w:pPr>
        <w:pStyle w:val="16"/>
        <w:numPr>
          <w:ilvl w:val="0"/>
          <w:numId w:val="9"/>
        </w:numPr>
        <w:tabs>
          <w:tab w:val="left" w:pos="844"/>
        </w:tabs>
        <w:spacing w:before="0" w:line="360" w:lineRule="auto"/>
        <w:contextualSpacing/>
        <w:jc w:val="both"/>
        <w:rPr>
          <w:rFonts w:ascii="Times New Roman" w:hAnsi="Times New Roman" w:cs="Times New Roman" w:eastAsiaTheme="minorEastAsia"/>
          <w:kern w:val="21"/>
          <w:sz w:val="21"/>
          <w:szCs w:val="21"/>
        </w:rPr>
      </w:pPr>
      <w:bookmarkStart w:id="47" w:name="6.3.3_现场审查时间"/>
      <w:bookmarkEnd w:id="47"/>
      <w:r>
        <w:rPr>
          <w:rFonts w:ascii="Times New Roman" w:hAnsi="Times New Roman" w:cs="Times New Roman" w:eastAsiaTheme="minorEastAsia"/>
          <w:kern w:val="21"/>
          <w:sz w:val="21"/>
          <w:szCs w:val="21"/>
        </w:rPr>
        <w:t>现场审查时间</w:t>
      </w:r>
    </w:p>
    <w:p w14:paraId="1B2CDC6C">
      <w:pPr>
        <w:spacing w:line="360" w:lineRule="auto"/>
        <w:ind w:firstLine="420" w:firstLineChars="200"/>
        <w:jc w:val="both"/>
        <w:rPr>
          <w:rFonts w:ascii="Times New Roman" w:hAnsi="Times New Roman" w:cs="Times New Roman" w:eastAsiaTheme="minorEastAsia"/>
          <w:sz w:val="21"/>
          <w:szCs w:val="21"/>
        </w:rPr>
      </w:pPr>
      <w:r>
        <w:rPr>
          <w:rFonts w:ascii="Times New Roman" w:hAnsi="Times New Roman" w:cs="Times New Roman" w:eastAsiaTheme="minorEastAsia"/>
          <w:sz w:val="21"/>
          <w:szCs w:val="21"/>
        </w:rPr>
        <w:t>策划和编制报告一起所用的时间，通常不宜使总的现场</w:t>
      </w:r>
      <w:r>
        <w:rPr>
          <w:rFonts w:hint="eastAsia" w:ascii="Times New Roman" w:hAnsi="Times New Roman" w:cs="Times New Roman" w:eastAsiaTheme="minorEastAsia"/>
          <w:sz w:val="21"/>
          <w:szCs w:val="21"/>
        </w:rPr>
        <w:t>“</w:t>
      </w:r>
      <w:r>
        <w:rPr>
          <w:rFonts w:ascii="Times New Roman" w:hAnsi="Times New Roman" w:cs="Times New Roman" w:eastAsiaTheme="minorEastAsia"/>
          <w:sz w:val="21"/>
          <w:szCs w:val="21"/>
        </w:rPr>
        <w:t>审查时间</w:t>
      </w:r>
      <w:r>
        <w:rPr>
          <w:rFonts w:hint="eastAsia" w:ascii="Times New Roman" w:hAnsi="Times New Roman" w:cs="Times New Roman" w:eastAsiaTheme="minorEastAsia"/>
          <w:sz w:val="21"/>
          <w:szCs w:val="21"/>
        </w:rPr>
        <w:t>”</w:t>
      </w:r>
      <w:r>
        <w:rPr>
          <w:rFonts w:ascii="Times New Roman" w:hAnsi="Times New Roman" w:cs="Times New Roman" w:eastAsiaTheme="minorEastAsia"/>
          <w:sz w:val="21"/>
          <w:szCs w:val="21"/>
        </w:rPr>
        <w:t>减少到附件一所给出时间的70%以下。当策划和/或编制报告需要增加时间时，这不应成为减少现场审查时间的理由。审查员旅途时间未计在内，应在表中所给出的审查时间的基础上另外增加。计算后的审查时间如包括小数，宜将其调整为最接近的半人日数（如：将5.3人日调整为5.5人日，5.2人日调整为5人日）。计算后的现场审查时间不宜低于现场审查总时间的80%，监督审查人日为初次审查人日的50%，再认证审查人日为初次审查人日的70%。</w:t>
      </w:r>
    </w:p>
    <w:p w14:paraId="2310DEAC">
      <w:pPr>
        <w:pStyle w:val="16"/>
        <w:numPr>
          <w:ilvl w:val="0"/>
          <w:numId w:val="9"/>
        </w:numPr>
        <w:tabs>
          <w:tab w:val="left" w:pos="844"/>
        </w:tabs>
        <w:spacing w:before="0" w:line="360" w:lineRule="auto"/>
        <w:contextualSpacing/>
        <w:jc w:val="both"/>
        <w:rPr>
          <w:rFonts w:ascii="Times New Roman" w:hAnsi="Times New Roman" w:cs="Times New Roman" w:eastAsiaTheme="minorEastAsia"/>
          <w:kern w:val="21"/>
          <w:sz w:val="21"/>
          <w:szCs w:val="21"/>
        </w:rPr>
      </w:pPr>
      <w:bookmarkStart w:id="48" w:name="6.3.4_审查组的组成"/>
      <w:bookmarkEnd w:id="48"/>
      <w:r>
        <w:rPr>
          <w:rFonts w:ascii="Times New Roman" w:hAnsi="Times New Roman" w:cs="Times New Roman" w:eastAsiaTheme="minorEastAsia"/>
          <w:kern w:val="21"/>
          <w:sz w:val="21"/>
          <w:szCs w:val="21"/>
        </w:rPr>
        <w:t>审查组的组成</w:t>
      </w:r>
    </w:p>
    <w:p w14:paraId="593B323E">
      <w:pPr>
        <w:spacing w:line="360" w:lineRule="auto"/>
        <w:rPr>
          <w:rFonts w:ascii="Times New Roman" w:hAnsi="Times New Roman" w:cs="Times New Roman" w:eastAsiaTheme="minorEastAsia"/>
          <w:kern w:val="21"/>
          <w:sz w:val="21"/>
          <w:szCs w:val="21"/>
        </w:rPr>
      </w:pPr>
      <w:bookmarkStart w:id="49" w:name="OLE_LINK11"/>
      <w:r>
        <w:rPr>
          <w:rFonts w:ascii="Times New Roman" w:hAnsi="Times New Roman" w:cs="Times New Roman" w:eastAsiaTheme="minorEastAsia"/>
          <w:kern w:val="21"/>
          <w:sz w:val="21"/>
          <w:szCs w:val="21"/>
        </w:rPr>
        <w:t>6.3.4.1</w:t>
      </w:r>
      <w:bookmarkEnd w:id="49"/>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FLH为服务认证审查任命审查组时应向审查组下达书面的任务书并提前将审查安排情况（审查时间、审查组成员等信息）通知到客户组织；同时还应为审查组提供完成审查所需的工作文件。</w:t>
      </w:r>
    </w:p>
    <w:p w14:paraId="4F03527C">
      <w:pPr>
        <w:spacing w:line="360" w:lineRule="auto"/>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6.3.4.2</w:t>
      </w:r>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FLH任命审查组时，根据审查目的和申请组织的具体情况来组成审查组（包括审查组长），确保审查组具备实施审查的能力，组成审查组时应至少考虑以下因素：</w:t>
      </w:r>
    </w:p>
    <w:p w14:paraId="4D803058">
      <w:pPr>
        <w:pStyle w:val="16"/>
        <w:numPr>
          <w:ilvl w:val="0"/>
          <w:numId w:val="11"/>
        </w:numPr>
        <w:tabs>
          <w:tab w:val="left" w:pos="84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审查目的、范围、准则和预计审查时间；</w:t>
      </w:r>
    </w:p>
    <w:p w14:paraId="49CB7CE1">
      <w:pPr>
        <w:pStyle w:val="16"/>
        <w:numPr>
          <w:ilvl w:val="0"/>
          <w:numId w:val="11"/>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为达到审查目的，审查组所需的整体能力，对拟认证范围内的特定活动具备适当的技术知识，以及相关时，对这些活动的相关规程和其潜在风险具备适当的技术知识（技术专家可以履行此项职责）；</w:t>
      </w:r>
    </w:p>
    <w:p w14:paraId="1E82A692">
      <w:pPr>
        <w:pStyle w:val="16"/>
        <w:numPr>
          <w:ilvl w:val="0"/>
          <w:numId w:val="11"/>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法律法规、合同和认证的特殊要求；</w:t>
      </w:r>
    </w:p>
    <w:p w14:paraId="153CF8EC">
      <w:pPr>
        <w:pStyle w:val="16"/>
        <w:numPr>
          <w:ilvl w:val="0"/>
          <w:numId w:val="11"/>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所有成员应为FLH聘用的具有相应资格的人员。</w:t>
      </w:r>
    </w:p>
    <w:p w14:paraId="5F262CF4">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 xml:space="preserve">6.3.4.3 </w:t>
      </w:r>
      <w:r>
        <w:rPr>
          <w:rFonts w:ascii="Times New Roman" w:hAnsi="Times New Roman" w:cs="Times New Roman" w:eastAsiaTheme="minorEastAsia"/>
          <w:kern w:val="21"/>
          <w:sz w:val="21"/>
          <w:szCs w:val="21"/>
        </w:rPr>
        <w:t>为保证审查的公正性，在初次/再认证审查时，审查组中应至少安排2名级别审查员参与现场审查。</w:t>
      </w:r>
    </w:p>
    <w:p w14:paraId="569787D2">
      <w:pPr>
        <w:pStyle w:val="16"/>
        <w:spacing w:before="0" w:line="360" w:lineRule="auto"/>
        <w:ind w:firstLine="0"/>
        <w:rPr>
          <w:rFonts w:ascii="Times New Roman" w:hAnsi="Times New Roman" w:cs="Times New Roman" w:eastAsiaTheme="minorEastAsia"/>
          <w:kern w:val="21"/>
          <w:sz w:val="21"/>
          <w:szCs w:val="21"/>
        </w:rPr>
      </w:pPr>
      <w:bookmarkStart w:id="50" w:name="6.4_审查的实施要求"/>
      <w:bookmarkEnd w:id="50"/>
      <w:bookmarkStart w:id="51" w:name="_Toc200814011"/>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审查的实施要求</w:t>
      </w:r>
      <w:bookmarkEnd w:id="51"/>
    </w:p>
    <w:p w14:paraId="0E4274CF">
      <w:pPr>
        <w:pStyle w:val="16"/>
        <w:numPr>
          <w:ilvl w:val="2"/>
          <w:numId w:val="1"/>
        </w:numPr>
        <w:tabs>
          <w:tab w:val="left" w:pos="833"/>
        </w:tabs>
        <w:spacing w:before="0" w:line="360" w:lineRule="auto"/>
        <w:ind w:left="0" w:firstLine="0"/>
        <w:contextualSpacing/>
        <w:jc w:val="both"/>
        <w:rPr>
          <w:rFonts w:ascii="Times New Roman" w:hAnsi="Times New Roman" w:cs="Times New Roman" w:eastAsiaTheme="minorEastAsia"/>
          <w:kern w:val="21"/>
          <w:sz w:val="21"/>
          <w:szCs w:val="21"/>
        </w:rPr>
      </w:pPr>
      <w:bookmarkStart w:id="52" w:name="6.4.1_审查计划"/>
      <w:bookmarkEnd w:id="52"/>
      <w:r>
        <w:rPr>
          <w:rFonts w:ascii="Times New Roman" w:hAnsi="Times New Roman" w:cs="Times New Roman" w:eastAsiaTheme="minorEastAsia"/>
          <w:kern w:val="21"/>
          <w:sz w:val="21"/>
          <w:szCs w:val="21"/>
        </w:rPr>
        <w:t>审查计划</w:t>
      </w:r>
    </w:p>
    <w:p w14:paraId="2687E3CC">
      <w:pPr>
        <w:pStyle w:val="16"/>
        <w:numPr>
          <w:ilvl w:val="3"/>
          <w:numId w:val="1"/>
        </w:numPr>
        <w:tabs>
          <w:tab w:val="left" w:pos="1480"/>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组长应根据审查方案和申请组织提供的文件中包含的信息编制《审查计划》，计划应便于审查活动的日程安排和协调，以有效地达到审查目标。审查计划的详细程度应反应审查的范围和复杂程度，以及实现审查目标的不确定因素。在编制审查计划时，审查组长应考虑以下因素：</w:t>
      </w:r>
    </w:p>
    <w:p w14:paraId="463ABE3C">
      <w:pPr>
        <w:pStyle w:val="16"/>
        <w:numPr>
          <w:ilvl w:val="0"/>
          <w:numId w:val="12"/>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适当的抽样技术；</w:t>
      </w:r>
    </w:p>
    <w:p w14:paraId="56A0D551">
      <w:pPr>
        <w:pStyle w:val="16"/>
        <w:numPr>
          <w:ilvl w:val="0"/>
          <w:numId w:val="12"/>
        </w:numPr>
        <w:tabs>
          <w:tab w:val="left" w:pos="84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审查组的组成及其整体能力；</w:t>
      </w:r>
    </w:p>
    <w:p w14:paraId="7324763D">
      <w:pPr>
        <w:pStyle w:val="16"/>
        <w:numPr>
          <w:ilvl w:val="0"/>
          <w:numId w:val="12"/>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审查对组织形成的风险（如：对质量、环境、安全方面的影响；对申请组织的服务、人员或基础设施产生的威胁）。</w:t>
      </w:r>
    </w:p>
    <w:p w14:paraId="58D8FEFD">
      <w:pPr>
        <w:pStyle w:val="16"/>
        <w:numPr>
          <w:ilvl w:val="3"/>
          <w:numId w:val="1"/>
        </w:numPr>
        <w:tabs>
          <w:tab w:val="left" w:pos="1454"/>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审查计划的编制应经批准后实施，当随着审查活动的进展需要必要的调整时，应现场进行调整，审查计划编制时应至少包括以下内容：</w:t>
      </w:r>
    </w:p>
    <w:p w14:paraId="17BB216E">
      <w:pPr>
        <w:pStyle w:val="16"/>
        <w:numPr>
          <w:ilvl w:val="0"/>
          <w:numId w:val="13"/>
        </w:numPr>
        <w:tabs>
          <w:tab w:val="left" w:pos="817"/>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审查目标；</w:t>
      </w:r>
    </w:p>
    <w:p w14:paraId="00FE338F">
      <w:pPr>
        <w:pStyle w:val="16"/>
        <w:numPr>
          <w:ilvl w:val="0"/>
          <w:numId w:val="13"/>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审查范围，包括受审查的组织单元、职能单元以及过程；</w:t>
      </w:r>
    </w:p>
    <w:p w14:paraId="330CAA13">
      <w:pPr>
        <w:pStyle w:val="16"/>
        <w:numPr>
          <w:ilvl w:val="0"/>
          <w:numId w:val="13"/>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审查准则和引用文件；</w:t>
      </w:r>
    </w:p>
    <w:p w14:paraId="07E56C6E">
      <w:pPr>
        <w:pStyle w:val="16"/>
        <w:numPr>
          <w:ilvl w:val="0"/>
          <w:numId w:val="13"/>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实施审查活动的地点、日期、内容；</w:t>
      </w:r>
    </w:p>
    <w:p w14:paraId="077D688E">
      <w:pPr>
        <w:pStyle w:val="16"/>
        <w:numPr>
          <w:ilvl w:val="0"/>
          <w:numId w:val="13"/>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使用的审查方法，包括所需的审查抽样的范围，以获得足够的审查证据，适用时还包括抽样方案的设计；</w:t>
      </w:r>
    </w:p>
    <w:p w14:paraId="7120CE56">
      <w:pPr>
        <w:pStyle w:val="16"/>
        <w:numPr>
          <w:ilvl w:val="0"/>
          <w:numId w:val="13"/>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审查组成员、向导和观察员的作用和职责；</w:t>
      </w:r>
    </w:p>
    <w:p w14:paraId="1298AB06">
      <w:pPr>
        <w:pStyle w:val="16"/>
        <w:numPr>
          <w:ilvl w:val="0"/>
          <w:numId w:val="13"/>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为审查的关键区域配置适当的资源。</w:t>
      </w:r>
    </w:p>
    <w:p w14:paraId="05E5C519">
      <w:pPr>
        <w:pStyle w:val="16"/>
        <w:numPr>
          <w:ilvl w:val="3"/>
          <w:numId w:val="1"/>
        </w:numPr>
        <w:tabs>
          <w:tab w:val="left" w:pos="1494"/>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组长可在审查组内协调，将对具体的过程、活动、职能或场所的审查职责分配给审查组每位成员。分配审查组职责时，应考虑审查员的独立性和能力、资源的有效利用以及审查员、实习审查员和技术专家的不同作用和职责。并考虑以下方面：</w:t>
      </w:r>
    </w:p>
    <w:p w14:paraId="5AC7013C">
      <w:pPr>
        <w:pStyle w:val="16"/>
        <w:numPr>
          <w:ilvl w:val="0"/>
          <w:numId w:val="14"/>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适时安排审查组内部沟通会议，以落实工作分配并掌握审查实施情况，为确保实现审查目标，可随着审查的进展调整所分配的工作；</w:t>
      </w:r>
    </w:p>
    <w:p w14:paraId="1F873AA2">
      <w:pPr>
        <w:pStyle w:val="16"/>
        <w:numPr>
          <w:ilvl w:val="0"/>
          <w:numId w:val="14"/>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适时安排与受审查方的沟通活动，特别是在报告审查结论前应就审查证据和审查发现与受审查方进行充分沟通；</w:t>
      </w:r>
    </w:p>
    <w:p w14:paraId="21E1188B">
      <w:pPr>
        <w:pStyle w:val="16"/>
        <w:numPr>
          <w:ilvl w:val="0"/>
          <w:numId w:val="14"/>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建议按部门结合服务过程编制审查计划，并为每个部门分别确定具体的时间段；</w:t>
      </w:r>
    </w:p>
    <w:p w14:paraId="53774F1B">
      <w:pPr>
        <w:pStyle w:val="16"/>
        <w:numPr>
          <w:ilvl w:val="0"/>
          <w:numId w:val="14"/>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适用时，认证领域专业审查员与非专业审查员组成审查组，实施服务特性的检查或检测；</w:t>
      </w:r>
    </w:p>
    <w:p w14:paraId="2322AB02">
      <w:pPr>
        <w:pStyle w:val="16"/>
        <w:numPr>
          <w:ilvl w:val="0"/>
          <w:numId w:val="14"/>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适用时，由专业审查员与非专业检查员分担服务特性的暗访。</w:t>
      </w:r>
    </w:p>
    <w:p w14:paraId="04072A4C">
      <w:pPr>
        <w:pStyle w:val="16"/>
        <w:numPr>
          <w:ilvl w:val="3"/>
          <w:numId w:val="1"/>
        </w:numPr>
        <w:tabs>
          <w:tab w:val="left" w:pos="1494"/>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项目管理人员应对《审查计划》进行评审并签字确认，审查组长应与现场审查前3个工作日将《审查计划》发送申请组织确认。当对审查计划存在反对意见时，应在组长、受审查方及审查委托方之间得到解决。</w:t>
      </w:r>
    </w:p>
    <w:p w14:paraId="21EE4C6D">
      <w:pPr>
        <w:pStyle w:val="16"/>
        <w:numPr>
          <w:ilvl w:val="2"/>
          <w:numId w:val="1"/>
        </w:numPr>
        <w:tabs>
          <w:tab w:val="left" w:pos="844"/>
        </w:tabs>
        <w:spacing w:before="0" w:line="360" w:lineRule="auto"/>
        <w:ind w:left="0" w:firstLine="0"/>
        <w:contextualSpacing/>
        <w:jc w:val="both"/>
        <w:rPr>
          <w:rFonts w:ascii="Times New Roman" w:hAnsi="Times New Roman" w:cs="Times New Roman" w:eastAsiaTheme="minorEastAsia"/>
          <w:kern w:val="21"/>
          <w:sz w:val="21"/>
          <w:szCs w:val="21"/>
        </w:rPr>
      </w:pPr>
      <w:bookmarkStart w:id="53" w:name="6.4.2_初次审查"/>
      <w:bookmarkEnd w:id="53"/>
      <w:r>
        <w:rPr>
          <w:rFonts w:ascii="Times New Roman" w:hAnsi="Times New Roman" w:cs="Times New Roman" w:eastAsiaTheme="minorEastAsia"/>
          <w:kern w:val="21"/>
          <w:sz w:val="21"/>
          <w:szCs w:val="21"/>
        </w:rPr>
        <w:t>初次审查</w:t>
      </w:r>
    </w:p>
    <w:p w14:paraId="4DF6A885">
      <w:pPr>
        <w:pStyle w:val="16"/>
        <w:numPr>
          <w:ilvl w:val="3"/>
          <w:numId w:val="1"/>
        </w:numPr>
        <w:tabs>
          <w:tab w:val="left" w:pos="1493"/>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审查程序</w:t>
      </w:r>
    </w:p>
    <w:p w14:paraId="0AABD5A1">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服务认证审查通常分为文件评审和现场审查两部份。文件评审由审查组长接到审查任务后进行，文件评审意见应体现在文件评价报告中。现场审查的主要目的是在组织的现场全面收集审查证据，以判断组织的服务提供是否符合认证要求，服务特性是否持续改进。</w:t>
      </w:r>
    </w:p>
    <w:p w14:paraId="7D2F36C2">
      <w:pPr>
        <w:pStyle w:val="16"/>
        <w:numPr>
          <w:ilvl w:val="3"/>
          <w:numId w:val="1"/>
        </w:numPr>
        <w:tabs>
          <w:tab w:val="left" w:pos="1493"/>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审查内容</w:t>
      </w:r>
    </w:p>
    <w:p w14:paraId="1754B64D">
      <w:pPr>
        <w:pStyle w:val="16"/>
        <w:numPr>
          <w:ilvl w:val="0"/>
          <w:numId w:val="15"/>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商品售后服务评价体系标准所要求的内容，包括：售后服务体系（组织架构、人员配置、资源配置、规范要求、监督、改进、服务要求）、商品服务（商品信息、技术支持、配送、维修、质量保证、废弃商品回收）、顾客服务（顾客关系、投诉处理）；</w:t>
      </w:r>
    </w:p>
    <w:p w14:paraId="27E26B56">
      <w:pPr>
        <w:pStyle w:val="16"/>
        <w:numPr>
          <w:ilvl w:val="0"/>
          <w:numId w:val="15"/>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顾客感知调查，顾客感知调查对象为组织的顾客，调查由审查组采用书面调查，调查方式包括当面顾客访谈、电话调查、问卷调查、网络调查等方式进行，并填写《商品售后服务顾客感知调查表》；</w:t>
      </w:r>
    </w:p>
    <w:p w14:paraId="343C8108">
      <w:pPr>
        <w:pStyle w:val="16"/>
        <w:numPr>
          <w:ilvl w:val="1"/>
          <w:numId w:val="0"/>
        </w:numPr>
        <w:tabs>
          <w:tab w:val="left" w:pos="1481"/>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6.4.2.3 服务管理审核</w:t>
      </w:r>
    </w:p>
    <w:p w14:paraId="102EF1FE">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审查组应按照确定审查准则，对受审查组织的服务管理进行审查，其目的是证实服务持续符合服务规范或认证技术规范要求的能力。服务管理审核至少需确认以下内容：</w:t>
      </w:r>
    </w:p>
    <w:p w14:paraId="740647D4">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1）对受审查组织的服务能力审查，包括对与其服务管理体系相关的结构、方针、过程、程序、记录及文件的现场审查;</w:t>
      </w:r>
    </w:p>
    <w:p w14:paraId="2FFE96D0">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2）人员及资源配置与管理;</w:t>
      </w:r>
    </w:p>
    <w:p w14:paraId="54EC7AB5">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3）服务特性控制及其运行管理;</w:t>
      </w:r>
    </w:p>
    <w:p w14:paraId="0F2C6718">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4）用于支持服务的设施设备、服务用品、信息技术及相应的环境条件(如安全、环境);</w:t>
      </w:r>
    </w:p>
    <w:p w14:paraId="357BC86E">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5）服务承诺和顾客服务：</w:t>
      </w:r>
    </w:p>
    <w:p w14:paraId="68C4ED17">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6）对服务中断或意外事件的响应和服务补救措施：</w:t>
      </w:r>
    </w:p>
    <w:p w14:paraId="65C86FFB">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7）争议的处置管理：</w:t>
      </w:r>
    </w:p>
    <w:p w14:paraId="557CEE36">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8）服务投诉的处理。</w:t>
      </w:r>
    </w:p>
    <w:p w14:paraId="34CB7B63">
      <w:pPr>
        <w:pStyle w:val="16"/>
        <w:numPr>
          <w:ilvl w:val="1"/>
          <w:numId w:val="0"/>
        </w:numPr>
        <w:tabs>
          <w:tab w:val="left" w:pos="1481"/>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6.4.2.4 服务特性测评</w:t>
      </w:r>
    </w:p>
    <w:p w14:paraId="7D4962C6">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1）服务特性测评是指针对服务特性所进行的数据收集、综合测算与分析的过程，其目的是证实顾客服务“真实瞬间”的符合性。</w:t>
      </w:r>
    </w:p>
    <w:p w14:paraId="035F2FA8">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2）FLH与申请组织在服务认证合同中约定服务测评标准，服务测评标准应包括服务特性指标和服务过程质量指标;</w:t>
      </w:r>
    </w:p>
    <w:p w14:paraId="75B3FEE5">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3）审查组应根据适用的服务特性测评标准，按规定的要求和方法对抽取的样本进行测评，以获取包括顾客服务、服务管理和服务支撑能力等相关的信息。</w:t>
      </w:r>
    </w:p>
    <w:p w14:paraId="1546803E">
      <w:pPr>
        <w:pStyle w:val="16"/>
        <w:numPr>
          <w:ilvl w:val="1"/>
          <w:numId w:val="0"/>
        </w:numPr>
        <w:tabs>
          <w:tab w:val="left" w:pos="1481"/>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6.4.2.5 暗访(必要时)</w:t>
      </w:r>
    </w:p>
    <w:p w14:paraId="4CB29779">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1）暗访是指具有资格和能力的人员，以顾客身份在服务组织不知情的情况下体验特定服务，或是通过观察服务组织对其顾客服务的情况，对服务特性测评的一种方式。</w:t>
      </w:r>
    </w:p>
    <w:p w14:paraId="7A69EBB3">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2）在现场审查时，审查组为证实顾客服务“真实瞬间”达到服务特性测评标准的程度，在必要时实施对申请人的暗访，以获取其服务的真实情况。</w:t>
      </w:r>
    </w:p>
    <w:p w14:paraId="4C841DB3">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3）在公开进行现场审查中，对抽取证据的真实性产生怀疑;</w:t>
      </w:r>
    </w:p>
    <w:p w14:paraId="0374369F">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4）在相关方多次投诉中，涉及到与以往服务特性测评达标程度的重大偏差。暗访的范围、人员选择、过程要求及其审查按照审查方案及服务认证标准/规范的规定执行。</w:t>
      </w:r>
    </w:p>
    <w:p w14:paraId="1C601608">
      <w:pPr>
        <w:pStyle w:val="16"/>
        <w:numPr>
          <w:ilvl w:val="1"/>
          <w:numId w:val="0"/>
        </w:numPr>
        <w:tabs>
          <w:tab w:val="left" w:pos="1481"/>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5）审核组应根据受审查组织服务活动的特点来选择暗访的时机，暗访的实施不应诱使受审查组织产生负面的表现。</w:t>
      </w:r>
    </w:p>
    <w:p w14:paraId="2D39E116">
      <w:pPr>
        <w:pStyle w:val="16"/>
        <w:numPr>
          <w:ilvl w:val="1"/>
          <w:numId w:val="0"/>
        </w:numPr>
        <w:tabs>
          <w:tab w:val="left" w:pos="1481"/>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6.4.2.6</w:t>
      </w:r>
      <w:r>
        <w:rPr>
          <w:rFonts w:ascii="Times New Roman" w:hAnsi="Times New Roman" w:cs="Times New Roman" w:eastAsiaTheme="minorEastAsia"/>
          <w:kern w:val="21"/>
          <w:sz w:val="21"/>
          <w:szCs w:val="21"/>
        </w:rPr>
        <w:t>审查报告</w:t>
      </w:r>
    </w:p>
    <w:p w14:paraId="207CDAF7">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审查组应对审查活动形成书面的审查报告，审查报告应对组织服务提供的符合性和有效性进行全面描述和评价，报告应包括但不限于以下内容：</w:t>
      </w:r>
    </w:p>
    <w:p w14:paraId="70E904A1">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评价的目的、范围和准则；</w:t>
      </w:r>
    </w:p>
    <w:p w14:paraId="36637898">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申请人的基本情况（包括名称、地址等）；</w:t>
      </w:r>
    </w:p>
    <w:p w14:paraId="21162C79">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抽样及样本信息；</w:t>
      </w:r>
    </w:p>
    <w:p w14:paraId="6AB4DBD8">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服务评价结果及其说明；</w:t>
      </w:r>
    </w:p>
    <w:p w14:paraId="3762EF05">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与有关认证要求符合性的陈述（包括任何不符合）；</w:t>
      </w:r>
    </w:p>
    <w:p w14:paraId="69786ED3">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报告覆盖的时间段；</w:t>
      </w:r>
    </w:p>
    <w:p w14:paraId="4C4096F4">
      <w:pPr>
        <w:pStyle w:val="16"/>
        <w:numPr>
          <w:ilvl w:val="0"/>
          <w:numId w:val="16"/>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结论。</w:t>
      </w:r>
    </w:p>
    <w:p w14:paraId="64EBE39B">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审查组长应在现场审查完成后且受审查组织对现场审查出具的书面不符合；有效整改后3个工作日内完成服务认证审查报告，并将完整的认证资料交回FLH。</w:t>
      </w:r>
    </w:p>
    <w:p w14:paraId="4887B0C3">
      <w:pPr>
        <w:pStyle w:val="16"/>
        <w:numPr>
          <w:ilvl w:val="1"/>
          <w:numId w:val="0"/>
        </w:numPr>
        <w:tabs>
          <w:tab w:val="left" w:pos="1481"/>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 xml:space="preserve">6.4.3 </w:t>
      </w:r>
      <w:r>
        <w:rPr>
          <w:rFonts w:ascii="Times New Roman" w:hAnsi="Times New Roman" w:cs="Times New Roman" w:eastAsiaTheme="minorEastAsia"/>
          <w:kern w:val="21"/>
          <w:sz w:val="21"/>
          <w:szCs w:val="21"/>
        </w:rPr>
        <w:t>认证决定</w:t>
      </w:r>
    </w:p>
    <w:p w14:paraId="1895018F">
      <w:pPr>
        <w:pStyle w:val="5"/>
        <w:spacing w:before="0" w:line="360" w:lineRule="auto"/>
        <w:ind w:left="0" w:leftChars="0" w:firstLine="0" w:firstLineChars="0"/>
        <w:contextualSpacing/>
        <w:jc w:val="both"/>
        <w:rPr>
          <w:rFonts w:ascii="Times New Roman" w:hAnsi="Times New Roman" w:cs="Times New Roman" w:eastAsiaTheme="minorEastAsia"/>
          <w:kern w:val="21"/>
        </w:rPr>
      </w:pPr>
      <w:r>
        <w:rPr>
          <w:rFonts w:hint="eastAsia" w:ascii="Times New Roman" w:hAnsi="Times New Roman" w:cs="Times New Roman" w:eastAsiaTheme="minorEastAsia"/>
          <w:kern w:val="21"/>
          <w:lang w:val="en-US" w:eastAsia="zh-CN"/>
        </w:rPr>
        <w:t xml:space="preserve">6.4.3.1 </w:t>
      </w:r>
      <w:r>
        <w:rPr>
          <w:rFonts w:ascii="Times New Roman" w:hAnsi="Times New Roman" w:cs="Times New Roman" w:eastAsiaTheme="minorEastAsia"/>
          <w:kern w:val="21"/>
        </w:rPr>
        <w:t>认证决定人员应当依据相关文件，对认证上报材料的完整性和准确性、评审过程的符合性、有效性和充分性、评审结论的合理性等方面进行系统评定，作出是否予以发证的推荐意见时应充分考虑评审组的评审结论，并再次确认认证范围。通常认证决定应在10个工作日内完成。评定完成后报证书人批准是否同意颁发证书。</w:t>
      </w:r>
    </w:p>
    <w:p w14:paraId="276980D3">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采用服务测评或评价方式进行的服务认证审查，当审查组推荐的级别属于较高等级或级别（如采用五星评价体系的四星及以上认证决定，应选择具有行业背景的专家参与评定，并最终做出评定结论，对审查结论有异议时，认证决定人员可要求可增加现场见证。</w:t>
      </w:r>
    </w:p>
    <w:p w14:paraId="157FE922">
      <w:pPr>
        <w:pStyle w:val="5"/>
        <w:spacing w:before="0" w:line="360" w:lineRule="auto"/>
        <w:ind w:left="0" w:firstLine="630" w:firstLineChars="3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做出认证决定的认证决定人员应满足以下要求：</w:t>
      </w:r>
    </w:p>
    <w:p w14:paraId="671F85F4">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hint="eastAsia" w:ascii="Times New Roman" w:hAnsi="Times New Roman" w:cs="Times New Roman" w:eastAsiaTheme="minorEastAsia"/>
          <w:kern w:val="21"/>
        </w:rPr>
        <w:t>1）</w:t>
      </w:r>
      <w:r>
        <w:rPr>
          <w:rFonts w:ascii="Times New Roman" w:hAnsi="Times New Roman" w:cs="Times New Roman" w:eastAsiaTheme="minorEastAsia"/>
          <w:kern w:val="21"/>
        </w:rPr>
        <w:t>是未参与该项目审查的人员，且与受审查方无利害关系；</w:t>
      </w:r>
    </w:p>
    <w:p w14:paraId="3F62E238">
      <w:pPr>
        <w:pStyle w:val="16"/>
        <w:numPr>
          <w:ilvl w:val="1"/>
          <w:numId w:val="0"/>
        </w:numPr>
        <w:tabs>
          <w:tab w:val="left" w:pos="1059"/>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两年内未参与受审查方认证咨询及影响公正性的其他相关活动；</w:t>
      </w:r>
    </w:p>
    <w:p w14:paraId="4F8D4C7E">
      <w:pPr>
        <w:pStyle w:val="16"/>
        <w:numPr>
          <w:ilvl w:val="1"/>
          <w:numId w:val="0"/>
        </w:numPr>
        <w:tabs>
          <w:tab w:val="left" w:pos="1059"/>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不受来自其他各方任何影响公正性压力的影响；</w:t>
      </w:r>
    </w:p>
    <w:p w14:paraId="7ABC68EB">
      <w:pPr>
        <w:pStyle w:val="16"/>
        <w:numPr>
          <w:ilvl w:val="1"/>
          <w:numId w:val="0"/>
        </w:numPr>
        <w:tabs>
          <w:tab w:val="left" w:pos="1059"/>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专业能力必须满足被评定项目。</w:t>
      </w:r>
    </w:p>
    <w:p w14:paraId="1EB8BFC8">
      <w:pPr>
        <w:spacing w:line="360" w:lineRule="auto"/>
        <w:jc w:val="both"/>
        <w:rPr>
          <w:rFonts w:hint="eastAsia" w:ascii="Times New Roman" w:hAnsi="Times New Roman" w:cs="Times New Roman" w:eastAsiaTheme="minorEastAsia"/>
          <w:kern w:val="21"/>
          <w:sz w:val="21"/>
          <w:szCs w:val="21"/>
        </w:rPr>
      </w:pPr>
      <w:bookmarkStart w:id="54" w:name="6.4.3_获证后监督"/>
      <w:bookmarkEnd w:id="54"/>
      <w:r>
        <w:rPr>
          <w:rFonts w:hint="eastAsia" w:ascii="Times New Roman" w:hAnsi="Times New Roman" w:cs="Times New Roman" w:eastAsiaTheme="minorEastAsia"/>
          <w:kern w:val="21"/>
          <w:sz w:val="21"/>
          <w:szCs w:val="21"/>
          <w:lang w:val="en-US" w:eastAsia="zh-CN"/>
        </w:rPr>
        <w:t xml:space="preserve">6.4.3.2  </w:t>
      </w:r>
      <w:r>
        <w:rPr>
          <w:rFonts w:hint="eastAsia" w:ascii="Times New Roman" w:hAnsi="Times New Roman" w:cs="Times New Roman" w:eastAsiaTheme="minorEastAsia"/>
          <w:kern w:val="21"/>
          <w:sz w:val="21"/>
          <w:szCs w:val="21"/>
        </w:rPr>
        <w:t>认证机构应有充分的证据确认认证委托人满足下列条件的，做出授予、更新、扩大认证范围的决定：</w:t>
      </w:r>
    </w:p>
    <w:p w14:paraId="4A025752">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w:t>
      </w:r>
      <w:r>
        <w:rPr>
          <w:rFonts w:hint="eastAsia" w:ascii="Times New Roman" w:hAnsi="Times New Roman" w:cs="Times New Roman" w:eastAsiaTheme="minorEastAsia"/>
          <w:kern w:val="21"/>
          <w:sz w:val="21"/>
          <w:szCs w:val="21"/>
          <w:lang w:val="en-US" w:eastAsia="zh-CN"/>
        </w:rPr>
        <w:t>6.2.1.2中</w:t>
      </w:r>
      <w:r>
        <w:rPr>
          <w:rFonts w:hint="eastAsia" w:ascii="Times New Roman" w:hAnsi="Times New Roman" w:cs="Times New Roman" w:eastAsiaTheme="minorEastAsia"/>
          <w:kern w:val="21"/>
          <w:sz w:val="21"/>
          <w:szCs w:val="21"/>
        </w:rPr>
        <w:t>的条件；</w:t>
      </w:r>
    </w:p>
    <w:p w14:paraId="705CFD1B">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（2）对于严重不符合， 已评审、接受并验证了纠正措施的有效性；对于轻微不符合， 已评审、接受了认证委托人的纠正措施或计划采取的纠正措施；</w:t>
      </w:r>
    </w:p>
    <w:p w14:paraId="16B93721">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（3）认证委托人的</w:t>
      </w:r>
      <w:r>
        <w:rPr>
          <w:rFonts w:hint="eastAsia" w:ascii="Times New Roman" w:hAnsi="Times New Roman" w:cs="Times New Roman" w:eastAsiaTheme="minorEastAsia"/>
          <w:kern w:val="21"/>
          <w:sz w:val="21"/>
          <w:szCs w:val="21"/>
          <w:lang w:val="en-US" w:eastAsia="zh-CN"/>
        </w:rPr>
        <w:t>商品售后服务</w:t>
      </w:r>
      <w:r>
        <w:rPr>
          <w:rFonts w:hint="eastAsia" w:ascii="Times New Roman" w:hAnsi="Times New Roman" w:cs="Times New Roman" w:eastAsiaTheme="minorEastAsia"/>
          <w:kern w:val="21"/>
          <w:sz w:val="21"/>
          <w:szCs w:val="21"/>
        </w:rPr>
        <w:t>符合 GB/T27922－2011</w:t>
      </w:r>
      <w:r>
        <w:rPr>
          <w:rFonts w:hint="eastAsia" w:ascii="Times New Roman" w:hAnsi="Times New Roman" w:cs="Times New Roman" w:eastAsiaTheme="minorEastAsia"/>
          <w:kern w:val="21"/>
          <w:sz w:val="21"/>
          <w:szCs w:val="21"/>
          <w:lang w:eastAsia="zh-CN"/>
        </w:rPr>
        <w:t>《</w:t>
      </w:r>
      <w:r>
        <w:rPr>
          <w:rFonts w:hint="eastAsia" w:ascii="Times New Roman" w:hAnsi="Times New Roman" w:cs="Times New Roman" w:eastAsiaTheme="minorEastAsia"/>
          <w:kern w:val="21"/>
          <w:sz w:val="21"/>
          <w:szCs w:val="21"/>
        </w:rPr>
        <w:t>商品售后服务评价体系</w:t>
      </w:r>
      <w:r>
        <w:rPr>
          <w:rFonts w:hint="eastAsia" w:ascii="Times New Roman" w:hAnsi="Times New Roman" w:cs="Times New Roman" w:eastAsiaTheme="minorEastAsia"/>
          <w:kern w:val="21"/>
          <w:sz w:val="21"/>
          <w:szCs w:val="21"/>
          <w:lang w:eastAsia="zh-CN"/>
        </w:rPr>
        <w:t>》</w:t>
      </w:r>
      <w:r>
        <w:rPr>
          <w:rFonts w:hint="eastAsia" w:ascii="Times New Roman" w:hAnsi="Times New Roman" w:cs="Times New Roman" w:eastAsiaTheme="minorEastAsia"/>
          <w:kern w:val="21"/>
          <w:sz w:val="21"/>
          <w:szCs w:val="21"/>
        </w:rPr>
        <w:t>标准要求且运行有效；</w:t>
      </w:r>
    </w:p>
    <w:p w14:paraId="783D770E">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（4）认证委托人按照认证合同规定履行了相关义务。</w:t>
      </w:r>
    </w:p>
    <w:p w14:paraId="2FCA75CC">
      <w:pPr>
        <w:spacing w:line="360" w:lineRule="auto"/>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lang w:val="en-US" w:eastAsia="zh-CN"/>
        </w:rPr>
        <w:t xml:space="preserve">6.4.3.3 </w:t>
      </w:r>
      <w:r>
        <w:rPr>
          <w:rFonts w:hint="eastAsia" w:ascii="Times New Roman" w:hAnsi="Times New Roman" w:cs="Times New Roman" w:eastAsiaTheme="minorEastAsia"/>
          <w:kern w:val="21"/>
          <w:sz w:val="21"/>
          <w:szCs w:val="21"/>
        </w:rPr>
        <w:t>初次认证审核的认证决定应在现场审核后 6个月内完成。否则应在推荐认证注册前再实施一次第二阶段审核。</w:t>
      </w:r>
    </w:p>
    <w:p w14:paraId="7BE39EDF">
      <w:pPr>
        <w:spacing w:line="360" w:lineRule="auto"/>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lang w:val="en-US" w:eastAsia="zh-CN"/>
        </w:rPr>
        <w:t xml:space="preserve">6.4.3.4 </w:t>
      </w:r>
      <w:r>
        <w:rPr>
          <w:rFonts w:hint="eastAsia" w:ascii="Times New Roman" w:hAnsi="Times New Roman" w:cs="Times New Roman" w:eastAsiaTheme="minorEastAsia"/>
          <w:kern w:val="21"/>
          <w:sz w:val="21"/>
          <w:szCs w:val="21"/>
        </w:rPr>
        <w:t>再认证审核的认证决定宜在上一认证周期认证证书到期前完成，最迟应在证书到期之日起 6 个月内完成。如果在当前认证证书终止日期前，认证机构未能完成再认证审核或对严重不符合实施的纠正和纠正措施未能进行验证，则不应予以再认证，也不应延长原认证证书的有效期。</w:t>
      </w:r>
    </w:p>
    <w:p w14:paraId="308EA8EC">
      <w:pPr>
        <w:spacing w:line="360" w:lineRule="auto"/>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lang w:val="en-US" w:eastAsia="zh-CN"/>
        </w:rPr>
        <w:t xml:space="preserve">6.4.3.5 </w:t>
      </w:r>
      <w:r>
        <w:rPr>
          <w:rFonts w:hint="eastAsia" w:ascii="Times New Roman" w:hAnsi="Times New Roman" w:cs="Times New Roman" w:eastAsiaTheme="minorEastAsia"/>
          <w:kern w:val="21"/>
          <w:sz w:val="21"/>
          <w:szCs w:val="21"/>
        </w:rPr>
        <w:t>认证委托人不能满足</w:t>
      </w:r>
      <w:r>
        <w:rPr>
          <w:rFonts w:hint="eastAsia" w:ascii="Times New Roman" w:hAnsi="Times New Roman" w:cs="Times New Roman" w:eastAsiaTheme="minorEastAsia"/>
          <w:kern w:val="21"/>
          <w:sz w:val="21"/>
          <w:szCs w:val="21"/>
          <w:lang w:val="en-US" w:eastAsia="zh-CN"/>
        </w:rPr>
        <w:t>6.4.3.2</w:t>
      </w:r>
      <w:r>
        <w:rPr>
          <w:rFonts w:hint="eastAsia" w:ascii="Times New Roman" w:hAnsi="Times New Roman" w:cs="Times New Roman" w:eastAsiaTheme="minorEastAsia"/>
          <w:kern w:val="21"/>
          <w:sz w:val="21"/>
          <w:szCs w:val="21"/>
        </w:rPr>
        <w:t xml:space="preserve"> 要求的，认证机构应以书面形式告知其未通过认证的原因。</w:t>
      </w:r>
    </w:p>
    <w:p w14:paraId="580DFA29">
      <w:pPr>
        <w:spacing w:line="360" w:lineRule="auto"/>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lang w:val="en-US" w:eastAsia="zh-CN"/>
        </w:rPr>
        <w:t xml:space="preserve">6.4.3.6 </w:t>
      </w:r>
      <w:r>
        <w:rPr>
          <w:rFonts w:hint="eastAsia" w:ascii="Times New Roman" w:hAnsi="Times New Roman" w:cs="Times New Roman" w:eastAsiaTheme="minorEastAsia"/>
          <w:kern w:val="21"/>
          <w:sz w:val="21"/>
          <w:szCs w:val="21"/>
        </w:rPr>
        <w:t>对于监督审核，认证机构在满足下列条件时，可根据审核组长的肯定性结论保持对获证组织的认证，无需再进行独立的认证决定：</w:t>
      </w:r>
    </w:p>
    <w:p w14:paraId="0343AD98">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（1）监督审核未发现严重不符合及其他可能导致认证证书暂停、撤销的情况；</w:t>
      </w:r>
    </w:p>
    <w:p w14:paraId="72AA7535">
      <w:pPr>
        <w:spacing w:line="360" w:lineRule="auto"/>
        <w:ind w:firstLine="420" w:firstLineChars="200"/>
        <w:jc w:val="both"/>
        <w:rPr>
          <w:rFonts w:hint="eastAsia"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（2）获证组织认证信息未发生变更，不存在扩大、缩小认证范围的情况；</w:t>
      </w:r>
    </w:p>
    <w:p w14:paraId="1A7AE677">
      <w:pPr>
        <w:spacing w:line="360" w:lineRule="auto"/>
        <w:ind w:firstLine="420" w:firstLineChars="200"/>
        <w:jc w:val="both"/>
        <w:rPr>
          <w:rFonts w:hint="default" w:ascii="Times New Roman" w:hAnsi="Times New Roman" w:cs="Times New Roman" w:eastAsiaTheme="minorEastAsia"/>
          <w:kern w:val="21"/>
          <w:sz w:val="21"/>
          <w:szCs w:val="21"/>
          <w:lang w:val="en-US" w:eastAsia="zh-CN"/>
        </w:rPr>
      </w:pPr>
      <w:r>
        <w:rPr>
          <w:rFonts w:hint="eastAsia" w:ascii="Times New Roman" w:hAnsi="Times New Roman" w:cs="Times New Roman" w:eastAsiaTheme="minorEastAsia"/>
          <w:kern w:val="21"/>
          <w:sz w:val="21"/>
          <w:szCs w:val="21"/>
        </w:rPr>
        <w:t>（3）认证机构建立了监督审核的监视机制并予以实施，可确保监督审核活动的有效性。</w:t>
      </w:r>
    </w:p>
    <w:p w14:paraId="2911F5D6">
      <w:pPr>
        <w:pStyle w:val="16"/>
        <w:numPr>
          <w:ilvl w:val="1"/>
          <w:numId w:val="0"/>
        </w:numPr>
        <w:tabs>
          <w:tab w:val="left" w:pos="844"/>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6.4.4</w:t>
      </w:r>
      <w:r>
        <w:rPr>
          <w:rFonts w:ascii="Times New Roman" w:hAnsi="Times New Roman" w:cs="Times New Roman" w:eastAsiaTheme="minorEastAsia"/>
          <w:kern w:val="21"/>
          <w:sz w:val="21"/>
          <w:szCs w:val="21"/>
        </w:rPr>
        <w:t>获证后监督</w:t>
      </w:r>
    </w:p>
    <w:p w14:paraId="3110CCF6">
      <w:pPr>
        <w:pStyle w:val="16"/>
        <w:numPr>
          <w:ilvl w:val="1"/>
          <w:numId w:val="0"/>
        </w:numPr>
        <w:tabs>
          <w:tab w:val="left" w:pos="1486"/>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6.4.4.1</w:t>
      </w:r>
      <w:r>
        <w:rPr>
          <w:rFonts w:ascii="Times New Roman" w:hAnsi="Times New Roman" w:cs="Times New Roman" w:eastAsiaTheme="minorEastAsia"/>
          <w:kern w:val="21"/>
          <w:sz w:val="21"/>
          <w:szCs w:val="21"/>
        </w:rPr>
        <w:t>监督审查频次</w:t>
      </w:r>
    </w:p>
    <w:p w14:paraId="6C93D860">
      <w:pPr>
        <w:spacing w:line="360" w:lineRule="auto"/>
        <w:ind w:firstLine="420" w:firstLineChars="200"/>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为确保证书持有人的服务持续满足认证要求，在证书有效期内，FLH每年应实施不少于一次的监督审查。初次认证后的第一次监督审查应在初次审查最后一天起12个月内进行，其他监督审查和再认证审查应在上次审查最后一天起12个月内进行，第二次监督及后续的监督审查如果在达到监督审查期限而有证据表明获证组织暂不具备实施监督审查的条件时（如季节性暂停服务、搬迁等，）由获证组织提出书面申请，经负责人批准后可以适当延长监督审查期限，但最长间隔不能超过15个月。</w:t>
      </w:r>
    </w:p>
    <w:p w14:paraId="7EE0C100">
      <w:pPr>
        <w:pStyle w:val="5"/>
        <w:spacing w:before="0" w:line="360" w:lineRule="auto"/>
        <w:ind w:left="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当发生下述情况时，应考虑增加监督频次：1.国家相关管理部门对其实施处罚；</w:t>
      </w:r>
    </w:p>
    <w:p w14:paraId="0F590D05">
      <w:pPr>
        <w:pStyle w:val="16"/>
        <w:numPr>
          <w:ilvl w:val="0"/>
          <w:numId w:val="17"/>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获证组织的运作发生了重大变动或发生了其他可能影响认证资格的变更（包括法人、组织机构、相关职能、服务资源以及相关影响企业符合性的体系更改等；）</w:t>
      </w:r>
    </w:p>
    <w:p w14:paraId="66554192">
      <w:pPr>
        <w:pStyle w:val="16"/>
        <w:numPr>
          <w:ilvl w:val="0"/>
          <w:numId w:val="17"/>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获证方受到消费者投诉并造成一定社会影响的；</w:t>
      </w:r>
    </w:p>
    <w:p w14:paraId="6FC16630">
      <w:pPr>
        <w:pStyle w:val="16"/>
        <w:numPr>
          <w:ilvl w:val="0"/>
          <w:numId w:val="17"/>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证书持有人发生严重的质量、安全、卫生、环保等事故；</w:t>
      </w:r>
    </w:p>
    <w:p w14:paraId="697A2BB5">
      <w:pPr>
        <w:pStyle w:val="16"/>
        <w:numPr>
          <w:ilvl w:val="0"/>
          <w:numId w:val="17"/>
        </w:numPr>
        <w:tabs>
          <w:tab w:val="left" w:pos="104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认证依据等发生变化时；</w:t>
      </w:r>
    </w:p>
    <w:p w14:paraId="0EEBAABB">
      <w:pPr>
        <w:pStyle w:val="16"/>
        <w:numPr>
          <w:ilvl w:val="0"/>
          <w:numId w:val="17"/>
        </w:numPr>
        <w:tabs>
          <w:tab w:val="left" w:pos="103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发生其他特殊情况时。</w:t>
      </w:r>
    </w:p>
    <w:p w14:paraId="02017199">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6.4.4.2</w:t>
      </w:r>
      <w:r>
        <w:rPr>
          <w:rFonts w:ascii="Times New Roman" w:hAnsi="Times New Roman" w:cs="Times New Roman" w:eastAsiaTheme="minorEastAsia"/>
          <w:kern w:val="21"/>
          <w:sz w:val="21"/>
          <w:szCs w:val="21"/>
        </w:rPr>
        <w:t>监督审查程序</w:t>
      </w:r>
    </w:p>
    <w:p w14:paraId="0C6FADC3">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监督审查的现场审查程序与初次认证现场审查程序基本相同。</w:t>
      </w:r>
    </w:p>
    <w:p w14:paraId="3369C7A4">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6.4.4.3</w:t>
      </w:r>
      <w:r>
        <w:rPr>
          <w:rFonts w:ascii="Times New Roman" w:hAnsi="Times New Roman" w:cs="Times New Roman" w:eastAsiaTheme="minorEastAsia"/>
          <w:kern w:val="21"/>
          <w:sz w:val="21"/>
          <w:szCs w:val="21"/>
        </w:rPr>
        <w:t>监督审查内容</w:t>
      </w:r>
    </w:p>
    <w:p w14:paraId="7C1CB914">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监督审查应在受审查方现场进行，常规监督审查时可不再对受审查方的情况重新进行打分评价。监督审查的必审内容为：</w:t>
      </w:r>
    </w:p>
    <w:p w14:paraId="74F53567">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5.1.3；</w:t>
      </w:r>
      <w:r>
        <w:fldChar w:fldCharType="begin"/>
      </w:r>
      <w:r>
        <w:instrText xml:space="preserve"> HYPERLINK "file:///C:\\Users\\张小娟\\AppData\\Local\\Temp\\MicrosoftEdgeDownloads\\879f54a4-8ad8-4988-94d2-04afcf78e4a9\\5.1.5.2" \h </w:instrText>
      </w:r>
      <w:r>
        <w:fldChar w:fldCharType="separate"/>
      </w:r>
      <w:r>
        <w:rPr>
          <w:rFonts w:ascii="Times New Roman" w:hAnsi="Times New Roman" w:cs="Times New Roman" w:eastAsiaTheme="minorEastAsia"/>
          <w:kern w:val="21"/>
        </w:rPr>
        <w:t>5.1.5.2</w:t>
      </w:r>
      <w:r>
        <w:rPr>
          <w:rFonts w:ascii="Times New Roman" w:hAnsi="Times New Roman" w:cs="Times New Roman" w:eastAsiaTheme="minorEastAsia"/>
          <w:kern w:val="21"/>
        </w:rPr>
        <w:fldChar w:fldCharType="end"/>
      </w:r>
      <w:r>
        <w:rPr>
          <w:rFonts w:ascii="Times New Roman" w:hAnsi="Times New Roman" w:cs="Times New Roman" w:eastAsiaTheme="minorEastAsia"/>
          <w:kern w:val="21"/>
        </w:rPr>
        <w:t>；</w:t>
      </w:r>
      <w:r>
        <w:fldChar w:fldCharType="begin"/>
      </w:r>
      <w:r>
        <w:instrText xml:space="preserve"> HYPERLINK "file:///C:\\Users\\张小娟\\AppData\\Local\\Temp\\MicrosoftEdgeDownloads\\879f54a4-8ad8-4988-94d2-04afcf78e4a9\\5.1.6.1" \h </w:instrText>
      </w:r>
      <w:r>
        <w:fldChar w:fldCharType="separate"/>
      </w:r>
      <w:r>
        <w:rPr>
          <w:rFonts w:ascii="Times New Roman" w:hAnsi="Times New Roman" w:cs="Times New Roman" w:eastAsiaTheme="minorEastAsia"/>
          <w:kern w:val="21"/>
        </w:rPr>
        <w:t>5.1.6.1</w:t>
      </w:r>
      <w:r>
        <w:rPr>
          <w:rFonts w:ascii="Times New Roman" w:hAnsi="Times New Roman" w:cs="Times New Roman" w:eastAsiaTheme="minorEastAsia"/>
          <w:kern w:val="21"/>
        </w:rPr>
        <w:fldChar w:fldCharType="end"/>
      </w:r>
      <w:r>
        <w:rPr>
          <w:rFonts w:ascii="Times New Roman" w:hAnsi="Times New Roman" w:cs="Times New Roman" w:eastAsiaTheme="minorEastAsia"/>
          <w:kern w:val="21"/>
        </w:rPr>
        <w:t>；5.2.2；5.2.3；5.2.4；5.2.5.3；5.2.5.4；5.2.5.5；</w:t>
      </w:r>
      <w:r>
        <w:fldChar w:fldCharType="begin"/>
      </w:r>
      <w:r>
        <w:instrText xml:space="preserve"> HYPERLINK "file:///C:\\Users\\张小娟\\AppData\\Local\\Temp\\MicrosoftEdgeDownloads\\879f54a4-8ad8-4988-94d2-04afcf78e4a9\\5.3.1.3" \h </w:instrText>
      </w:r>
      <w:r>
        <w:fldChar w:fldCharType="separate"/>
      </w:r>
      <w:r>
        <w:rPr>
          <w:rFonts w:ascii="Times New Roman" w:hAnsi="Times New Roman" w:cs="Times New Roman" w:eastAsiaTheme="minorEastAsia"/>
          <w:kern w:val="21"/>
        </w:rPr>
        <w:t>5.3.1.3</w:t>
      </w:r>
      <w:r>
        <w:rPr>
          <w:rFonts w:ascii="Times New Roman" w:hAnsi="Times New Roman" w:cs="Times New Roman" w:eastAsiaTheme="minorEastAsia"/>
          <w:kern w:val="21"/>
        </w:rPr>
        <w:fldChar w:fldCharType="end"/>
      </w:r>
      <w:r>
        <w:rPr>
          <w:rFonts w:ascii="Times New Roman" w:hAnsi="Times New Roman" w:cs="Times New Roman" w:eastAsiaTheme="minorEastAsia"/>
          <w:kern w:val="21"/>
        </w:rPr>
        <w:t>；5.3.1.4；5.3.1.5；5.3.2；再补充其他条款和部门，确保两次监督审查覆盖所有条款，除此之外每次监督审查还应重点关注以下内容：</w:t>
      </w:r>
    </w:p>
    <w:p w14:paraId="7E0E9FAF">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1</w:t>
      </w:r>
      <w:r>
        <w:rPr>
          <w:rFonts w:hint="eastAsia" w:ascii="Times New Roman" w:hAnsi="Times New Roman" w:cs="Times New Roman" w:eastAsiaTheme="minorEastAsia"/>
          <w:kern w:val="21"/>
        </w:rPr>
        <w:t>）</w:t>
      </w:r>
      <w:r>
        <w:rPr>
          <w:rFonts w:ascii="Times New Roman" w:hAnsi="Times New Roman" w:cs="Times New Roman" w:eastAsiaTheme="minorEastAsia"/>
          <w:kern w:val="21"/>
        </w:rPr>
        <w:t>服务提供的变化情况；</w:t>
      </w:r>
    </w:p>
    <w:p w14:paraId="1210F2BD">
      <w:pPr>
        <w:pStyle w:val="16"/>
        <w:numPr>
          <w:ilvl w:val="1"/>
          <w:numId w:val="0"/>
        </w:numPr>
        <w:tabs>
          <w:tab w:val="left" w:pos="1055"/>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相关行业法律法规和行业要求变化情况；</w:t>
      </w:r>
    </w:p>
    <w:p w14:paraId="2F3D015F">
      <w:pPr>
        <w:pStyle w:val="16"/>
        <w:numPr>
          <w:ilvl w:val="1"/>
          <w:numId w:val="0"/>
        </w:numPr>
        <w:tabs>
          <w:tab w:val="left" w:pos="1059"/>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认证证书的使用情况；</w:t>
      </w:r>
    </w:p>
    <w:p w14:paraId="526A62A4">
      <w:pPr>
        <w:pStyle w:val="16"/>
        <w:numPr>
          <w:ilvl w:val="1"/>
          <w:numId w:val="0"/>
        </w:numPr>
        <w:tabs>
          <w:tab w:val="left" w:pos="1059"/>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4）</w:t>
      </w:r>
      <w:r>
        <w:rPr>
          <w:rFonts w:ascii="Times New Roman" w:hAnsi="Times New Roman" w:cs="Times New Roman" w:eastAsiaTheme="minorEastAsia"/>
          <w:kern w:val="21"/>
          <w:sz w:val="21"/>
          <w:szCs w:val="21"/>
        </w:rPr>
        <w:t>对上次审查中确定的不符合采取的纠正措施的实施情况及有效性。</w:t>
      </w:r>
    </w:p>
    <w:p w14:paraId="56571235">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6.4.4.4</w:t>
      </w:r>
      <w:r>
        <w:rPr>
          <w:rFonts w:ascii="Times New Roman" w:hAnsi="Times New Roman" w:cs="Times New Roman" w:eastAsiaTheme="minorEastAsia"/>
          <w:kern w:val="21"/>
          <w:sz w:val="21"/>
          <w:szCs w:val="21"/>
        </w:rPr>
        <w:t>监督审查的认证决定</w:t>
      </w:r>
    </w:p>
    <w:p w14:paraId="656252EB">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FLH可根据审查组长监督审查的肯定性结论，做出保持或降级客户的认证和服务等级，批准继续使用证书。</w:t>
      </w:r>
    </w:p>
    <w:p w14:paraId="0813EF25">
      <w:pPr>
        <w:spacing w:line="360" w:lineRule="auto"/>
        <w:ind w:firstLine="420" w:firstLineChars="200"/>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对于审查组在审查时发现了任何可能导致暂停或撤消认证的不符合或影响认证证书降级及其他影响认证的情况，审查组长应向FLH报告，由FLH指派专业的且未实施该项目审查的认证决定人员进行复核，确定是否需降级或可继续使用证书。</w:t>
      </w:r>
    </w:p>
    <w:p w14:paraId="7FCA15E3">
      <w:pPr>
        <w:pStyle w:val="16"/>
        <w:numPr>
          <w:ilvl w:val="1"/>
          <w:numId w:val="0"/>
        </w:numPr>
        <w:tabs>
          <w:tab w:val="left" w:pos="844"/>
        </w:tabs>
        <w:spacing w:before="0" w:line="360" w:lineRule="auto"/>
        <w:contextualSpacing/>
        <w:jc w:val="both"/>
        <w:rPr>
          <w:rFonts w:ascii="Times New Roman" w:hAnsi="Times New Roman" w:cs="Times New Roman" w:eastAsiaTheme="minorEastAsia"/>
          <w:kern w:val="21"/>
          <w:sz w:val="21"/>
          <w:szCs w:val="21"/>
        </w:rPr>
      </w:pPr>
      <w:bookmarkStart w:id="55" w:name="6.4.4_再认证"/>
      <w:bookmarkEnd w:id="55"/>
      <w:r>
        <w:rPr>
          <w:rFonts w:hint="eastAsia" w:ascii="Times New Roman" w:hAnsi="Times New Roman" w:cs="Times New Roman" w:eastAsiaTheme="minorEastAsia"/>
          <w:kern w:val="21"/>
          <w:sz w:val="21"/>
          <w:szCs w:val="21"/>
        </w:rPr>
        <w:t>6.4.5</w:t>
      </w:r>
      <w:r>
        <w:rPr>
          <w:rFonts w:ascii="Times New Roman" w:hAnsi="Times New Roman" w:cs="Times New Roman" w:eastAsiaTheme="minorEastAsia"/>
          <w:kern w:val="21"/>
          <w:sz w:val="21"/>
          <w:szCs w:val="21"/>
        </w:rPr>
        <w:t>再认证</w:t>
      </w:r>
    </w:p>
    <w:p w14:paraId="06B68F31">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6.4.5.1</w:t>
      </w:r>
      <w:r>
        <w:rPr>
          <w:rFonts w:ascii="Times New Roman" w:hAnsi="Times New Roman" w:cs="Times New Roman" w:eastAsiaTheme="minorEastAsia"/>
          <w:kern w:val="21"/>
          <w:sz w:val="21"/>
          <w:szCs w:val="21"/>
        </w:rPr>
        <w:t>再认证审查程序</w:t>
      </w:r>
    </w:p>
    <w:p w14:paraId="24A009AB">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通常再认证证书到期前3个月，各市场人员应与获证组织联系安排再认证事宜，再认证的审查要求参照初次认证执行。</w:t>
      </w:r>
    </w:p>
    <w:p w14:paraId="2A9FA7CF">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如果在证书有效期满前未能完成再认证现场审查的，而获证方又希望继续“保持”认证时，应按照初次认证重新进行审查。</w:t>
      </w:r>
    </w:p>
    <w:p w14:paraId="49F57D00">
      <w:pPr>
        <w:pStyle w:val="16"/>
        <w:numPr>
          <w:ilvl w:val="1"/>
          <w:numId w:val="0"/>
        </w:numPr>
        <w:tabs>
          <w:tab w:val="left" w:pos="1493"/>
        </w:tabs>
        <w:spacing w:before="0" w:line="360" w:lineRule="auto"/>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6.4.5.2</w:t>
      </w:r>
      <w:r>
        <w:rPr>
          <w:rFonts w:ascii="Times New Roman" w:hAnsi="Times New Roman" w:cs="Times New Roman" w:eastAsiaTheme="minorEastAsia"/>
          <w:kern w:val="21"/>
          <w:sz w:val="21"/>
          <w:szCs w:val="21"/>
        </w:rPr>
        <w:t>再认证审查内容</w:t>
      </w:r>
    </w:p>
    <w:p w14:paraId="69C949CE">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再认证审查内容同初次认证审查内容外，还应重点关注以下内容：</w:t>
      </w:r>
    </w:p>
    <w:p w14:paraId="6A2157BF">
      <w:pPr>
        <w:pStyle w:val="16"/>
        <w:numPr>
          <w:ilvl w:val="1"/>
          <w:numId w:val="0"/>
        </w:numPr>
        <w:tabs>
          <w:tab w:val="left" w:pos="858"/>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w:t>
      </w:r>
      <w:r>
        <w:rPr>
          <w:rFonts w:ascii="Times New Roman" w:hAnsi="Times New Roman" w:cs="Times New Roman" w:eastAsiaTheme="minorEastAsia"/>
          <w:kern w:val="21"/>
          <w:sz w:val="21"/>
          <w:szCs w:val="21"/>
        </w:rPr>
        <w:t>结合内部和外部变化情况判断组织服务提供全过程的有效性以及认证范围的持续适宜性；</w:t>
      </w:r>
    </w:p>
    <w:p w14:paraId="1C303A84">
      <w:pPr>
        <w:pStyle w:val="16"/>
        <w:numPr>
          <w:ilvl w:val="1"/>
          <w:numId w:val="0"/>
        </w:numPr>
        <w:tabs>
          <w:tab w:val="left" w:pos="853"/>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2）</w:t>
      </w:r>
      <w:r>
        <w:rPr>
          <w:rFonts w:ascii="Times New Roman" w:hAnsi="Times New Roman" w:cs="Times New Roman" w:eastAsiaTheme="minorEastAsia"/>
          <w:kern w:val="21"/>
          <w:sz w:val="21"/>
          <w:szCs w:val="21"/>
        </w:rPr>
        <w:t>本认证周期内服务的目标和各项绩效指标实现情况；</w:t>
      </w:r>
    </w:p>
    <w:p w14:paraId="0141A4A9">
      <w:pPr>
        <w:pStyle w:val="16"/>
        <w:numPr>
          <w:ilvl w:val="1"/>
          <w:numId w:val="0"/>
        </w:numPr>
        <w:tabs>
          <w:tab w:val="left" w:pos="858"/>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3）</w:t>
      </w:r>
      <w:r>
        <w:rPr>
          <w:rFonts w:ascii="Times New Roman" w:hAnsi="Times New Roman" w:cs="Times New Roman" w:eastAsiaTheme="minorEastAsia"/>
          <w:kern w:val="21"/>
          <w:sz w:val="21"/>
          <w:szCs w:val="21"/>
        </w:rPr>
        <w:t>获证组织本认证周期的服务提供过程和绩效指标的变化情况等。</w:t>
      </w:r>
    </w:p>
    <w:p w14:paraId="4E569E8B">
      <w:pPr>
        <w:pStyle w:val="16"/>
        <w:spacing w:before="0" w:line="360" w:lineRule="auto"/>
        <w:ind w:firstLine="0"/>
        <w:jc w:val="both"/>
        <w:rPr>
          <w:rFonts w:ascii="Times New Roman" w:hAnsi="Times New Roman" w:cs="Times New Roman" w:eastAsiaTheme="minorEastAsia"/>
          <w:kern w:val="21"/>
          <w:sz w:val="21"/>
          <w:szCs w:val="21"/>
        </w:rPr>
      </w:pPr>
      <w:bookmarkStart w:id="56" w:name="6.5_认证变更"/>
      <w:bookmarkEnd w:id="56"/>
      <w:bookmarkStart w:id="57" w:name="_Toc200814012"/>
      <w:r>
        <w:rPr>
          <w:rFonts w:ascii="Times New Roman" w:hAnsi="Times New Roman" w:cs="Times New Roman" w:eastAsiaTheme="minorEastAsia"/>
          <w:kern w:val="21"/>
          <w:sz w:val="21"/>
          <w:szCs w:val="21"/>
        </w:rPr>
        <w:t>认证变更</w:t>
      </w:r>
      <w:bookmarkEnd w:id="57"/>
    </w:p>
    <w:p w14:paraId="6C0D0858">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获证组织应将法人、最高管理者、组织机构及相关管理职能、经营场所以及其他影响组织服务符合性的变更情况及时通报认证机构。</w:t>
      </w:r>
    </w:p>
    <w:p w14:paraId="4B061912">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认证机构应对获证方的变更情况进行评审，以确定其与认证依据和认证规则的持续符合性，必要时应安排现场审查后进行变更。</w:t>
      </w:r>
    </w:p>
    <w:p w14:paraId="43FCA02E">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对于符合要求的，FLH办理相应变更手续。对于获证方提出升级要求的，必须经现场审查后确定是否推荐变更。</w:t>
      </w:r>
    </w:p>
    <w:p w14:paraId="4D99D9FB">
      <w:pPr>
        <w:pStyle w:val="16"/>
        <w:spacing w:before="0" w:line="360" w:lineRule="auto"/>
        <w:ind w:firstLine="0"/>
        <w:jc w:val="both"/>
        <w:rPr>
          <w:rFonts w:ascii="Times New Roman" w:hAnsi="Times New Roman" w:cs="Times New Roman" w:eastAsiaTheme="minorEastAsia"/>
          <w:kern w:val="21"/>
          <w:sz w:val="21"/>
          <w:szCs w:val="21"/>
        </w:rPr>
      </w:pPr>
      <w:bookmarkStart w:id="58" w:name="6.6_认证范围扩大、缩小，认证证书级别的升级、降级，认证证书暂停、恢复和撤销"/>
      <w:bookmarkEnd w:id="58"/>
      <w:bookmarkStart w:id="59" w:name="_Toc200814013"/>
      <w:r>
        <w:rPr>
          <w:rFonts w:ascii="Times New Roman" w:hAnsi="Times New Roman" w:cs="Times New Roman" w:eastAsiaTheme="minorEastAsia"/>
          <w:kern w:val="21"/>
          <w:sz w:val="21"/>
          <w:szCs w:val="21"/>
        </w:rPr>
        <w:t>认证范围扩大、缩小，认证证书级别的升级、降级，认证证书暂停、恢复和撤销</w:t>
      </w:r>
      <w:bookmarkEnd w:id="59"/>
    </w:p>
    <w:p w14:paraId="224C40C9">
      <w:pPr>
        <w:pStyle w:val="16"/>
        <w:numPr>
          <w:ilvl w:val="2"/>
          <w:numId w:val="1"/>
        </w:numPr>
        <w:tabs>
          <w:tab w:val="left" w:pos="862"/>
        </w:tabs>
        <w:spacing w:before="0" w:line="360" w:lineRule="auto"/>
        <w:ind w:left="0" w:firstLine="0"/>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扩大</w:t>
      </w:r>
    </w:p>
    <w:p w14:paraId="625E2740">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通常，服务认证范围扩大按初次认证要求实施认证。认证组织需要增加认证范围时，可以提出扩项申请，经FLH评审后按再认证审查要求策划实施现场审查，按照初次审查认证决定要求评审后，符合要求的换发相应认证范围的认证证书。</w:t>
      </w:r>
    </w:p>
    <w:p w14:paraId="51149FFC">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扩大审查可结合监督审查、专项审查或再认证审查的方式进行。</w:t>
      </w:r>
    </w:p>
    <w:p w14:paraId="1F4A694E">
      <w:pPr>
        <w:pStyle w:val="16"/>
        <w:numPr>
          <w:ilvl w:val="2"/>
          <w:numId w:val="1"/>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60" w:name="6.6.2_升级"/>
      <w:bookmarkEnd w:id="60"/>
      <w:r>
        <w:rPr>
          <w:rFonts w:ascii="Times New Roman" w:hAnsi="Times New Roman" w:cs="Times New Roman" w:eastAsiaTheme="minorEastAsia"/>
          <w:kern w:val="21"/>
          <w:sz w:val="21"/>
          <w:szCs w:val="21"/>
        </w:rPr>
        <w:t>升级</w:t>
      </w:r>
    </w:p>
    <w:p w14:paraId="04B69840">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采用星级评价的服务认证审查，认证组织通过自我评价认为其服务满足更高等级要求时，可以提出书面升级申请。经FLH评审后，按再认证审查要求策划实施现场审查评审，按照初次审查认证决定要求评审后，符合要求的换发相应星级的认证证书。</w:t>
      </w:r>
    </w:p>
    <w:p w14:paraId="6BFB8A97">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升级方式可结合监督审查、专项审查或再认证审查的方式进行。</w:t>
      </w:r>
    </w:p>
    <w:p w14:paraId="2C00BDAA">
      <w:pPr>
        <w:pStyle w:val="16"/>
        <w:numPr>
          <w:ilvl w:val="2"/>
          <w:numId w:val="1"/>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61" w:name="6.6.3_缩小、降级"/>
      <w:bookmarkEnd w:id="61"/>
      <w:r>
        <w:rPr>
          <w:rFonts w:ascii="Times New Roman" w:hAnsi="Times New Roman" w:cs="Times New Roman" w:eastAsiaTheme="minorEastAsia"/>
          <w:kern w:val="21"/>
          <w:sz w:val="21"/>
          <w:szCs w:val="21"/>
        </w:rPr>
        <w:t>缩小、降级</w:t>
      </w:r>
    </w:p>
    <w:p w14:paraId="3378F182">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发证后，认证组织提出缩小认证范围应提交认证申请。审查时发现认证组织不能满足服务认证要求时，提供理由和证据提出缩小认证范围，FLH经评审后应当缩小认证证书范围并换发认证证书。</w:t>
      </w:r>
    </w:p>
    <w:p w14:paraId="41D5DE65">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对于采用星级评价的服务认证审查，审查时，发现组织的服务管理和服务特性的各项指标综合评分不能达到认证证书的级别，应当降级换发相应星级的认证证书。</w:t>
      </w:r>
    </w:p>
    <w:p w14:paraId="44C19E2F">
      <w:pPr>
        <w:pStyle w:val="16"/>
        <w:numPr>
          <w:ilvl w:val="2"/>
          <w:numId w:val="1"/>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62" w:name="6.6.4_暂停"/>
      <w:bookmarkEnd w:id="62"/>
      <w:r>
        <w:rPr>
          <w:rFonts w:ascii="Times New Roman" w:hAnsi="Times New Roman" w:cs="Times New Roman" w:eastAsiaTheme="minorEastAsia"/>
          <w:kern w:val="21"/>
          <w:sz w:val="21"/>
          <w:szCs w:val="21"/>
        </w:rPr>
        <w:t>暂停</w:t>
      </w:r>
    </w:p>
    <w:p w14:paraId="52DE5494">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获证组织存在如下情形之一的，应当暂停其认证证书：</w:t>
      </w:r>
    </w:p>
    <w:p w14:paraId="365F93FF">
      <w:pPr>
        <w:pStyle w:val="16"/>
        <w:numPr>
          <w:ilvl w:val="1"/>
          <w:numId w:val="0"/>
        </w:numPr>
        <w:tabs>
          <w:tab w:val="left" w:pos="853"/>
        </w:tabs>
        <w:spacing w:before="0" w:line="360" w:lineRule="auto"/>
        <w:ind w:firstLine="420" w:firstLineChars="200"/>
        <w:contextualSpacing/>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1）</w:t>
      </w:r>
      <w:r>
        <w:rPr>
          <w:rFonts w:ascii="Times New Roman" w:hAnsi="Times New Roman" w:cs="Times New Roman" w:eastAsiaTheme="minorEastAsia"/>
          <w:kern w:val="21"/>
          <w:sz w:val="21"/>
          <w:szCs w:val="21"/>
        </w:rPr>
        <w:t>发现组织的服务管理和服务特性的各项指标综合评分不能达到三星级及以上级别；</w:t>
      </w:r>
    </w:p>
    <w:p w14:paraId="0BBD7C80">
      <w:pPr>
        <w:pStyle w:val="16"/>
        <w:numPr>
          <w:ilvl w:val="0"/>
          <w:numId w:val="18"/>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获证的服务持续地或严重地不满足认证要求；</w:t>
      </w:r>
    </w:p>
    <w:p w14:paraId="7F5DEC53">
      <w:pPr>
        <w:pStyle w:val="16"/>
        <w:numPr>
          <w:ilvl w:val="0"/>
          <w:numId w:val="18"/>
        </w:numPr>
        <w:tabs>
          <w:tab w:val="left" w:pos="106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在监督审查中发现的不符合，在商定的时间内采取的纠正、纠正措施未被接受（或未被证实有效实施）；</w:t>
      </w:r>
    </w:p>
    <w:p w14:paraId="51402456">
      <w:pPr>
        <w:pStyle w:val="16"/>
        <w:numPr>
          <w:ilvl w:val="0"/>
          <w:numId w:val="18"/>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不能在规定的时限内接受监督审查或再认证审查；</w:t>
      </w:r>
    </w:p>
    <w:p w14:paraId="24BEDE92">
      <w:pPr>
        <w:pStyle w:val="16"/>
        <w:numPr>
          <w:ilvl w:val="0"/>
          <w:numId w:val="18"/>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未按要求使用认证机构签发的认证证书和认证标志；</w:t>
      </w:r>
    </w:p>
    <w:p w14:paraId="496D4D06">
      <w:pPr>
        <w:pStyle w:val="16"/>
        <w:numPr>
          <w:ilvl w:val="0"/>
          <w:numId w:val="18"/>
        </w:numPr>
        <w:tabs>
          <w:tab w:val="left" w:pos="105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组织发生重大变更已不满足原认证覆盖范围要求，未及时通知认证机构得到妥善处理（变更情况包括：法律地位、生产经营状况、组织状态或所有权变更；取得的行政许可资格或其他资质证书变更；法定代表人、最高管理者、管理者代表变更；服务场所、服务活动范围、关键服务过程的变更等）；</w:t>
      </w:r>
    </w:p>
    <w:p w14:paraId="0130ABB0">
      <w:pPr>
        <w:pStyle w:val="16"/>
        <w:numPr>
          <w:ilvl w:val="0"/>
          <w:numId w:val="18"/>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发生影响服务质量/环境/健康安全的重大事故，或国家行业监察发现重大问题；</w:t>
      </w:r>
    </w:p>
    <w:p w14:paraId="43371D82">
      <w:pPr>
        <w:pStyle w:val="16"/>
        <w:numPr>
          <w:ilvl w:val="0"/>
          <w:numId w:val="18"/>
        </w:numPr>
        <w:tabs>
          <w:tab w:val="left" w:pos="106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持有的行政许可证明、资质证书等过期失效，重新提交的申请已被受理但尚未换证的情况；</w:t>
      </w:r>
    </w:p>
    <w:p w14:paraId="3473E244">
      <w:pPr>
        <w:pStyle w:val="16"/>
        <w:numPr>
          <w:ilvl w:val="0"/>
          <w:numId w:val="18"/>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未按规定及时交纳有关认证费用；</w:t>
      </w:r>
    </w:p>
    <w:p w14:paraId="5CBC0811">
      <w:pPr>
        <w:pStyle w:val="16"/>
        <w:numPr>
          <w:ilvl w:val="0"/>
          <w:numId w:val="18"/>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不承担、履行认证合同约定的责任和义务；</w:t>
      </w:r>
    </w:p>
    <w:p w14:paraId="348E6B50">
      <w:pPr>
        <w:pStyle w:val="16"/>
        <w:numPr>
          <w:ilvl w:val="0"/>
          <w:numId w:val="18"/>
        </w:numPr>
        <w:tabs>
          <w:tab w:val="left" w:pos="114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获证客户主动请求暂停；</w:t>
      </w:r>
    </w:p>
    <w:p w14:paraId="56B7AE8F">
      <w:pPr>
        <w:pStyle w:val="16"/>
        <w:numPr>
          <w:ilvl w:val="0"/>
          <w:numId w:val="18"/>
        </w:numPr>
        <w:tabs>
          <w:tab w:val="left" w:pos="1156"/>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其他影响服务有效性的情况。</w:t>
      </w:r>
    </w:p>
    <w:p w14:paraId="5FB07D43">
      <w:pPr>
        <w:pStyle w:val="16"/>
        <w:numPr>
          <w:ilvl w:val="2"/>
          <w:numId w:val="1"/>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63" w:name="6.6.5_恢复"/>
      <w:bookmarkEnd w:id="63"/>
      <w:r>
        <w:rPr>
          <w:rFonts w:ascii="Times New Roman" w:hAnsi="Times New Roman" w:cs="Times New Roman" w:eastAsiaTheme="minorEastAsia"/>
          <w:kern w:val="21"/>
          <w:sz w:val="21"/>
          <w:szCs w:val="21"/>
        </w:rPr>
        <w:t>恢复</w:t>
      </w:r>
    </w:p>
    <w:p w14:paraId="10C260F7">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获证组织在暂停期内，针对暂停原因进行了有效整改纠正，必要时采取纠正措施，经认证机构验证有效实施后，可恢复其认证证书。</w:t>
      </w:r>
    </w:p>
    <w:p w14:paraId="0C0E8D3F">
      <w:pPr>
        <w:pStyle w:val="16"/>
        <w:numPr>
          <w:ilvl w:val="2"/>
          <w:numId w:val="1"/>
        </w:numPr>
        <w:tabs>
          <w:tab w:val="left" w:pos="850"/>
        </w:tabs>
        <w:spacing w:before="0" w:line="360" w:lineRule="auto"/>
        <w:ind w:left="0" w:firstLine="0"/>
        <w:contextualSpacing/>
        <w:jc w:val="both"/>
        <w:rPr>
          <w:rFonts w:ascii="Times New Roman" w:hAnsi="Times New Roman" w:cs="Times New Roman" w:eastAsiaTheme="minorEastAsia"/>
          <w:kern w:val="21"/>
          <w:sz w:val="21"/>
          <w:szCs w:val="21"/>
        </w:rPr>
      </w:pPr>
      <w:bookmarkStart w:id="64" w:name="6.6.6_撤销"/>
      <w:bookmarkEnd w:id="64"/>
      <w:r>
        <w:rPr>
          <w:rFonts w:ascii="Times New Roman" w:hAnsi="Times New Roman" w:cs="Times New Roman" w:eastAsiaTheme="minorEastAsia"/>
          <w:kern w:val="21"/>
          <w:sz w:val="21"/>
          <w:szCs w:val="21"/>
        </w:rPr>
        <w:t>撤销</w:t>
      </w:r>
    </w:p>
    <w:p w14:paraId="254D4F21">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获证组织存在如下情形之一的，应当撤销认证证书：1.组织服务不符合认证要求，审查未通过；</w:t>
      </w:r>
    </w:p>
    <w:p w14:paraId="21E16308">
      <w:pPr>
        <w:pStyle w:val="16"/>
        <w:numPr>
          <w:ilvl w:val="0"/>
          <w:numId w:val="19"/>
        </w:numPr>
        <w:tabs>
          <w:tab w:val="left" w:pos="1042"/>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严重违反国家法规；</w:t>
      </w:r>
    </w:p>
    <w:p w14:paraId="5EA0ECAA">
      <w:pPr>
        <w:pStyle w:val="16"/>
        <w:numPr>
          <w:ilvl w:val="0"/>
          <w:numId w:val="19"/>
        </w:numPr>
        <w:tabs>
          <w:tab w:val="left" w:pos="1087"/>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发生影响服务质量、环境、安全的重大事故，造成严重不良社会影响，或国家行业监察发现重大问题；</w:t>
      </w:r>
      <w:bookmarkStart w:id="95" w:name="_GoBack"/>
      <w:bookmarkEnd w:id="95"/>
    </w:p>
    <w:p w14:paraId="5EA42FE4">
      <w:pPr>
        <w:pStyle w:val="16"/>
        <w:numPr>
          <w:ilvl w:val="0"/>
          <w:numId w:val="19"/>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获证组织法律地位证明文件被注销或撤销；</w:t>
      </w:r>
    </w:p>
    <w:p w14:paraId="5BCE1A83">
      <w:pPr>
        <w:pStyle w:val="16"/>
        <w:numPr>
          <w:ilvl w:val="0"/>
          <w:numId w:val="19"/>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在暂停认证证书的限期内未能对导致暂停的问题实施有效地纠正；</w:t>
      </w:r>
    </w:p>
    <w:p w14:paraId="0CDC07E2">
      <w:pPr>
        <w:pStyle w:val="16"/>
        <w:numPr>
          <w:ilvl w:val="0"/>
          <w:numId w:val="19"/>
        </w:numPr>
        <w:tabs>
          <w:tab w:val="left" w:pos="106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暂停认证证书的期限已满，持有的行政许可证明、资质证书等已经过期失效但申请未获批准；</w:t>
      </w:r>
    </w:p>
    <w:p w14:paraId="702718FA">
      <w:pPr>
        <w:pStyle w:val="16"/>
        <w:numPr>
          <w:ilvl w:val="0"/>
          <w:numId w:val="19"/>
        </w:numPr>
        <w:tabs>
          <w:tab w:val="left" w:pos="104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获证客户主动要求撤消证书；</w:t>
      </w:r>
    </w:p>
    <w:p w14:paraId="26F631A6">
      <w:pPr>
        <w:pStyle w:val="16"/>
        <w:numPr>
          <w:ilvl w:val="0"/>
          <w:numId w:val="19"/>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未按规定及时交纳有关认证费用；</w:t>
      </w:r>
    </w:p>
    <w:p w14:paraId="4DDB6679">
      <w:pPr>
        <w:pStyle w:val="16"/>
        <w:numPr>
          <w:ilvl w:val="0"/>
          <w:numId w:val="19"/>
        </w:numPr>
        <w:tabs>
          <w:tab w:val="left" w:pos="105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未按相关规定正确引用和宣传获得的认证信息，造成严重影响或后果；</w:t>
      </w:r>
    </w:p>
    <w:p w14:paraId="74F7207F">
      <w:pPr>
        <w:pStyle w:val="16"/>
        <w:numPr>
          <w:ilvl w:val="0"/>
          <w:numId w:val="19"/>
        </w:numPr>
        <w:tabs>
          <w:tab w:val="left" w:pos="104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其他重大影响情况。</w:t>
      </w:r>
      <w:bookmarkStart w:id="65" w:name="7_认证证书和标志"/>
      <w:bookmarkEnd w:id="65"/>
    </w:p>
    <w:p w14:paraId="47A6A198">
      <w:pPr>
        <w:pStyle w:val="2"/>
        <w:numPr>
          <w:ilvl w:val="0"/>
          <w:numId w:val="1"/>
        </w:numPr>
      </w:pPr>
      <w:bookmarkStart w:id="66" w:name="_Toc200814014"/>
      <w:bookmarkStart w:id="67" w:name="_Toc16461"/>
      <w:r>
        <w:t>认证证书和标志</w:t>
      </w:r>
      <w:bookmarkEnd w:id="66"/>
      <w:bookmarkEnd w:id="67"/>
    </w:p>
    <w:p w14:paraId="5E922EFD">
      <w:pPr>
        <w:pStyle w:val="16"/>
        <w:spacing w:before="0" w:line="360" w:lineRule="auto"/>
        <w:ind w:firstLine="0"/>
        <w:jc w:val="both"/>
        <w:rPr>
          <w:rFonts w:ascii="Times New Roman" w:hAnsi="Times New Roman" w:cs="Times New Roman" w:eastAsiaTheme="minorEastAsia"/>
          <w:kern w:val="21"/>
          <w:sz w:val="21"/>
          <w:szCs w:val="21"/>
        </w:rPr>
      </w:pPr>
      <w:bookmarkStart w:id="68" w:name="7.1_认证证书的内容"/>
      <w:bookmarkEnd w:id="68"/>
      <w:bookmarkStart w:id="69" w:name="_Toc200814015"/>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认证证书的内容</w:t>
      </w:r>
      <w:bookmarkEnd w:id="69"/>
    </w:p>
    <w:p w14:paraId="292199E5">
      <w:pPr>
        <w:spacing w:line="360" w:lineRule="auto"/>
        <w:ind w:firstLine="420" w:firstLineChars="200"/>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FLH向满足认证要求的申请组织提供正式的商品售后服务认证证书，服务认证证书应至少包括以下基本内容：</w:t>
      </w:r>
    </w:p>
    <w:p w14:paraId="0919B4F2">
      <w:pPr>
        <w:pStyle w:val="16"/>
        <w:numPr>
          <w:ilvl w:val="0"/>
          <w:numId w:val="20"/>
        </w:numPr>
        <w:tabs>
          <w:tab w:val="left" w:pos="82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FLH的名称及</w:t>
      </w:r>
      <w:r>
        <w:rPr>
          <w:rFonts w:hint="eastAsia" w:ascii="Times New Roman" w:hAnsi="Times New Roman" w:cs="Times New Roman" w:eastAsiaTheme="minorEastAsia"/>
          <w:kern w:val="21"/>
          <w:sz w:val="21"/>
          <w:szCs w:val="21"/>
        </w:rPr>
        <w:t>机构</w:t>
      </w:r>
      <w:r>
        <w:rPr>
          <w:rFonts w:ascii="Times New Roman" w:hAnsi="Times New Roman" w:cs="Times New Roman" w:eastAsiaTheme="minorEastAsia"/>
          <w:kern w:val="21"/>
          <w:sz w:val="21"/>
          <w:szCs w:val="21"/>
        </w:rPr>
        <w:t>标志；</w:t>
      </w:r>
    </w:p>
    <w:p w14:paraId="3A3F57B8">
      <w:pPr>
        <w:pStyle w:val="16"/>
        <w:numPr>
          <w:ilvl w:val="0"/>
          <w:numId w:val="20"/>
        </w:numPr>
        <w:tabs>
          <w:tab w:val="left" w:pos="88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认可标识（适用时）；</w:t>
      </w:r>
    </w:p>
    <w:p w14:paraId="2B150357">
      <w:pPr>
        <w:pStyle w:val="16"/>
        <w:numPr>
          <w:ilvl w:val="0"/>
          <w:numId w:val="20"/>
        </w:numPr>
        <w:tabs>
          <w:tab w:val="left" w:pos="88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获证组织的名称、地址及其服务提供场所的地址；</w:t>
      </w:r>
    </w:p>
    <w:p w14:paraId="602DDDBF">
      <w:pPr>
        <w:pStyle w:val="16"/>
        <w:numPr>
          <w:ilvl w:val="0"/>
          <w:numId w:val="20"/>
        </w:numPr>
        <w:tabs>
          <w:tab w:val="left" w:pos="870"/>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认证范围；</w:t>
      </w:r>
    </w:p>
    <w:p w14:paraId="5AA0CA9E">
      <w:pPr>
        <w:pStyle w:val="16"/>
        <w:numPr>
          <w:ilvl w:val="0"/>
          <w:numId w:val="20"/>
        </w:numPr>
        <w:tabs>
          <w:tab w:val="left" w:pos="870"/>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服务认证依据的标准；</w:t>
      </w:r>
    </w:p>
    <w:p w14:paraId="6589EE41">
      <w:pPr>
        <w:pStyle w:val="16"/>
        <w:numPr>
          <w:ilvl w:val="0"/>
          <w:numId w:val="20"/>
        </w:numPr>
        <w:tabs>
          <w:tab w:val="left" w:pos="876"/>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服务认证方案（适用时）；</w:t>
      </w:r>
    </w:p>
    <w:p w14:paraId="7786322A">
      <w:pPr>
        <w:pStyle w:val="16"/>
        <w:numPr>
          <w:ilvl w:val="0"/>
          <w:numId w:val="20"/>
        </w:numPr>
        <w:tabs>
          <w:tab w:val="left" w:pos="88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发证日期和认证有效期（适用时）；</w:t>
      </w:r>
    </w:p>
    <w:p w14:paraId="723F6D71">
      <w:pPr>
        <w:pStyle w:val="16"/>
        <w:numPr>
          <w:ilvl w:val="0"/>
          <w:numId w:val="20"/>
        </w:numPr>
        <w:tabs>
          <w:tab w:val="left" w:pos="88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颁证日期、换证日期以及证书有效期的起止年月日；</w:t>
      </w:r>
    </w:p>
    <w:p w14:paraId="3CFBA24C">
      <w:pPr>
        <w:pStyle w:val="16"/>
        <w:numPr>
          <w:ilvl w:val="0"/>
          <w:numId w:val="20"/>
        </w:numPr>
        <w:tabs>
          <w:tab w:val="left" w:pos="88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FLH的印章和法定代表人代表或其授权人的签字</w:t>
      </w:r>
    </w:p>
    <w:p w14:paraId="1C8E1115">
      <w:pPr>
        <w:pStyle w:val="16"/>
        <w:spacing w:before="0" w:line="360" w:lineRule="auto"/>
        <w:ind w:firstLine="0"/>
        <w:jc w:val="both"/>
        <w:rPr>
          <w:rFonts w:ascii="Times New Roman" w:hAnsi="Times New Roman" w:cs="Times New Roman" w:eastAsiaTheme="minorEastAsia"/>
          <w:kern w:val="21"/>
          <w:sz w:val="21"/>
          <w:szCs w:val="21"/>
        </w:rPr>
      </w:pPr>
      <w:bookmarkStart w:id="70" w:name="7.2_认证证书的管理"/>
      <w:bookmarkEnd w:id="70"/>
      <w:bookmarkStart w:id="71" w:name="_Toc200814016"/>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认证证书的管理</w:t>
      </w:r>
      <w:bookmarkEnd w:id="71"/>
    </w:p>
    <w:p w14:paraId="11321372">
      <w:pPr>
        <w:tabs>
          <w:tab w:val="left" w:pos="1261"/>
        </w:tabs>
        <w:spacing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7.2.1 认证证书的有效期为三年，每年应对获证组织进行必要的监督审查，证书到期前应进行再认证审查</w:t>
      </w:r>
      <w:r>
        <w:rPr>
          <w:rFonts w:hint="eastAsia" w:ascii="Times New Roman" w:hAnsi="Times New Roman" w:cs="Times New Roman" w:eastAsiaTheme="minorEastAsia"/>
          <w:kern w:val="21"/>
          <w:sz w:val="21"/>
          <w:szCs w:val="21"/>
        </w:rPr>
        <w:t>。</w:t>
      </w:r>
    </w:p>
    <w:p w14:paraId="4920B476">
      <w:pPr>
        <w:tabs>
          <w:tab w:val="left" w:pos="1261"/>
        </w:tabs>
        <w:spacing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7.2.2 通常，对同一个组织实施的同一个服务认证，应使用同一个证书编号，当实施的服务认证为不同领域时，需重新编制证书编号；证书编号由机构批准、认证审核场所代码、年份号、标准代号、领域当年发生证书的累计顺序号和后缀号构成，格式见附件四</w:t>
      </w:r>
      <w:r>
        <w:rPr>
          <w:rFonts w:hint="eastAsia" w:ascii="Times New Roman" w:hAnsi="Times New Roman" w:cs="Times New Roman" w:eastAsiaTheme="minorEastAsia"/>
          <w:kern w:val="21"/>
          <w:sz w:val="21"/>
          <w:szCs w:val="21"/>
        </w:rPr>
        <w:t>。</w:t>
      </w:r>
    </w:p>
    <w:p w14:paraId="06B7E79D">
      <w:pPr>
        <w:pStyle w:val="16"/>
        <w:numPr>
          <w:ilvl w:val="1"/>
          <w:numId w:val="0"/>
        </w:numPr>
        <w:tabs>
          <w:tab w:val="left" w:pos="849"/>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7.2.3</w:t>
      </w:r>
      <w:bookmarkStart w:id="72" w:name="OLE_LINK5"/>
      <w:r>
        <w:rPr>
          <w:rFonts w:hint="eastAsia" w:ascii="Times New Roman" w:hAnsi="Times New Roman" w:cs="Times New Roman" w:eastAsiaTheme="minorEastAsia"/>
          <w:kern w:val="21"/>
          <w:sz w:val="21"/>
          <w:szCs w:val="21"/>
        </w:rPr>
        <w:t xml:space="preserve"> </w:t>
      </w:r>
      <w:r>
        <w:rPr>
          <w:rFonts w:ascii="Times New Roman" w:hAnsi="Times New Roman" w:cs="Times New Roman" w:eastAsiaTheme="minorEastAsia"/>
          <w:kern w:val="21"/>
          <w:sz w:val="21"/>
          <w:szCs w:val="21"/>
        </w:rPr>
        <w:t>证书查询方式</w:t>
      </w:r>
    </w:p>
    <w:p w14:paraId="583D3638">
      <w:pPr>
        <w:spacing w:line="360" w:lineRule="auto"/>
        <w:ind w:firstLine="420" w:firstLineChars="200"/>
        <w:jc w:val="both"/>
        <w:rPr>
          <w:rFonts w:ascii="Times New Roman" w:hAnsi="Times New Roman" w:cs="Times New Roman" w:eastAsiaTheme="minorEastAsia"/>
          <w:kern w:val="21"/>
          <w:sz w:val="21"/>
          <w:szCs w:val="21"/>
        </w:rPr>
      </w:pPr>
      <w:r>
        <w:rPr>
          <w:rFonts w:hint="eastAsia" w:ascii="Times New Roman" w:hAnsi="Times New Roman" w:cs="Times New Roman" w:eastAsiaTheme="minorEastAsia"/>
          <w:kern w:val="21"/>
          <w:sz w:val="21"/>
          <w:szCs w:val="21"/>
        </w:rPr>
        <w:t>本机构应通过国家认监委和本机构网站向社会公布获证信息，向公众提供查询认证证书有效性的方式。</w:t>
      </w:r>
    </w:p>
    <w:bookmarkEnd w:id="72"/>
    <w:p w14:paraId="3F55E76C">
      <w:pPr>
        <w:pStyle w:val="2"/>
        <w:numPr>
          <w:ilvl w:val="0"/>
          <w:numId w:val="1"/>
        </w:numPr>
        <w:jc w:val="both"/>
      </w:pPr>
      <w:bookmarkStart w:id="73" w:name="8_多场所"/>
      <w:bookmarkEnd w:id="73"/>
      <w:bookmarkStart w:id="74" w:name="_Toc200814017"/>
      <w:bookmarkStart w:id="75" w:name="_Toc4302"/>
      <w:r>
        <w:t>多场所</w:t>
      </w:r>
      <w:bookmarkEnd w:id="74"/>
      <w:bookmarkEnd w:id="75"/>
    </w:p>
    <w:p w14:paraId="5D9BF558">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拥有多个相同类型和职能的服务场所的组织进行的服务认证审查，当采用服务管理审查（现场观察、询问及内外部相关文件记录资料的查阅）时，可以采用抽样的方式进行审查，当外包质量影响服务质量时，审查范围应涵盖外包方。</w:t>
      </w:r>
    </w:p>
    <w:p w14:paraId="43202C60">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对于进行服务特性指标数据测评或评价的方式进行审查时，初次审查应覆盖认证范围内的所有场所。对于采用测评或评价方式进行的服务审查，本着就低不就高的原则出具审查结果。</w:t>
      </w:r>
    </w:p>
    <w:p w14:paraId="44533EEF">
      <w:pPr>
        <w:pStyle w:val="5"/>
        <w:spacing w:before="0" w:line="360" w:lineRule="auto"/>
        <w:ind w:left="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服务认证的监督审查，如果认证结论是保持原有证书和级别，可以采用抽样方式进行。但对于进行测评或评价方式进行审查，需要证书升级，则现场审查应覆盖认证范围内的所有场所。</w:t>
      </w:r>
    </w:p>
    <w:p w14:paraId="48A22B6B">
      <w:pPr>
        <w:pStyle w:val="16"/>
        <w:spacing w:before="0" w:line="360" w:lineRule="auto"/>
        <w:ind w:firstLine="0"/>
        <w:jc w:val="both"/>
        <w:rPr>
          <w:rFonts w:ascii="Times New Roman" w:hAnsi="Times New Roman" w:cs="Times New Roman" w:eastAsiaTheme="minorEastAsia"/>
          <w:kern w:val="21"/>
          <w:sz w:val="21"/>
          <w:szCs w:val="21"/>
        </w:rPr>
      </w:pPr>
      <w:bookmarkStart w:id="76" w:name="8.1_抽样条件"/>
      <w:bookmarkEnd w:id="76"/>
      <w:bookmarkStart w:id="77" w:name="_Toc200814018"/>
      <w:r>
        <w:rPr>
          <w:rFonts w:ascii="Times New Roman" w:hAnsi="Times New Roman" w:cs="Times New Roman" w:eastAsiaTheme="minorEastAsia"/>
          <w:kern w:val="21"/>
          <w:sz w:val="21"/>
          <w:szCs w:val="21"/>
        </w:rPr>
        <w:t>抽样条件</w:t>
      </w:r>
      <w:bookmarkEnd w:id="77"/>
    </w:p>
    <w:p w14:paraId="1068847C">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当客户组织拥有满足以下条件的多个场所时，应基于抽样的方法进行多场所抽样审查：1.所有场所按相同的程序和方式运行，并接受统一管理；</w:t>
      </w:r>
    </w:p>
    <w:p w14:paraId="14AF5002">
      <w:pPr>
        <w:pStyle w:val="16"/>
        <w:numPr>
          <w:ilvl w:val="0"/>
          <w:numId w:val="21"/>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所有的场所执行相同的服务流程，且各场所之间相对独产，不存在相互关联的过程；</w:t>
      </w:r>
    </w:p>
    <w:p w14:paraId="249D10BB">
      <w:pPr>
        <w:pStyle w:val="16"/>
        <w:numPr>
          <w:ilvl w:val="0"/>
          <w:numId w:val="21"/>
        </w:numPr>
        <w:tabs>
          <w:tab w:val="left" w:pos="858"/>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所有的场所均包含在申请人的内部审查方案、管理评审中；</w:t>
      </w:r>
    </w:p>
    <w:p w14:paraId="38978BA8">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对所有场所具有管理的权利，有能力收集所有场所中与服务特性有关的信息和数据，并要求各场所执行统一的管理措施，且组织内部控制体系有效。</w:t>
      </w:r>
    </w:p>
    <w:p w14:paraId="28D58EF0">
      <w:pPr>
        <w:pStyle w:val="5"/>
        <w:spacing w:before="0" w:line="360" w:lineRule="auto"/>
        <w:ind w:left="0"/>
        <w:contextualSpacing/>
        <w:jc w:val="both"/>
        <w:rPr>
          <w:rFonts w:ascii="Times New Roman" w:hAnsi="Times New Roman" w:cs="Times New Roman" w:eastAsiaTheme="minorEastAsia"/>
          <w:kern w:val="21"/>
        </w:rPr>
      </w:pPr>
      <w:r>
        <w:rPr>
          <w:rFonts w:hint="eastAsia" w:ascii="Times New Roman" w:hAnsi="Times New Roman" w:cs="Times New Roman" w:eastAsiaTheme="minorEastAsia"/>
          <w:kern w:val="21"/>
        </w:rPr>
        <w:t>8.2 抽样方法：</w:t>
      </w:r>
    </w:p>
    <w:p w14:paraId="23D95E0A">
      <w:pPr>
        <w:pStyle w:val="5"/>
        <w:spacing w:before="0" w:line="360" w:lineRule="auto"/>
        <w:ind w:left="0" w:firstLine="420" w:firstLineChars="200"/>
        <w:contextualSpacing/>
        <w:jc w:val="both"/>
        <w:rPr>
          <w:rFonts w:hint="eastAsia"/>
        </w:rPr>
      </w:pPr>
      <w:r>
        <w:rPr>
          <w:rFonts w:hint="eastAsia" w:ascii="Times New Roman" w:hAnsi="Times New Roman" w:cs="Times New Roman" w:eastAsiaTheme="minorEastAsia"/>
          <w:kern w:val="21"/>
        </w:rPr>
        <w:t>抽样宜具有显著的统计学特性，并覆盖组织的服务认证范围。样本的选取宜考虑随机抽样与有目的选择相结合的方式，以使得抽</w:t>
      </w:r>
      <w:r>
        <w:rPr>
          <w:rFonts w:hint="eastAsia"/>
        </w:rPr>
        <w:t>取的样本更具典型性、代表性和合理性。抽样方法可以是(但不限于)配额抽样、分层抽样、判断抽样、随机抽样或是几种抽样方法的组合。</w:t>
      </w:r>
    </w:p>
    <w:p w14:paraId="64F958BB">
      <w:pPr>
        <w:pStyle w:val="16"/>
        <w:numPr>
          <w:ilvl w:val="1"/>
          <w:numId w:val="0"/>
        </w:numPr>
        <w:spacing w:before="0" w:line="360" w:lineRule="auto"/>
        <w:jc w:val="both"/>
        <w:rPr>
          <w:rFonts w:ascii="Times New Roman" w:hAnsi="Times New Roman" w:cs="Times New Roman" w:eastAsiaTheme="minorEastAsia"/>
          <w:kern w:val="21"/>
          <w:sz w:val="21"/>
          <w:szCs w:val="21"/>
        </w:rPr>
      </w:pPr>
      <w:bookmarkStart w:id="78" w:name="_Toc200814019"/>
      <w:r>
        <w:rPr>
          <w:rFonts w:hint="eastAsia" w:ascii="Times New Roman" w:hAnsi="Times New Roman" w:cs="Times New Roman" w:eastAsiaTheme="minorEastAsia"/>
          <w:kern w:val="21"/>
          <w:sz w:val="21"/>
          <w:szCs w:val="21"/>
        </w:rPr>
        <w:t>8.3</w:t>
      </w:r>
      <w:r>
        <w:rPr>
          <w:rFonts w:ascii="Times New Roman" w:hAnsi="Times New Roman" w:cs="Times New Roman" w:eastAsiaTheme="minorEastAsia"/>
          <w:kern w:val="21"/>
          <w:sz w:val="21"/>
          <w:szCs w:val="21"/>
        </w:rPr>
        <w:t>抽样方案</w:t>
      </w:r>
      <w:bookmarkEnd w:id="78"/>
    </w:p>
    <w:p w14:paraId="4CCDF97D">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审查方案管理人员在使用基于抽样的方法时，应确保进行服务认证的各个场所都满足8.1规定的抽样条件时，才可以对这些场使用抽样程序；</w:t>
      </w:r>
    </w:p>
    <w:p w14:paraId="14E91E68">
      <w:pPr>
        <w:pStyle w:val="5"/>
        <w:spacing w:before="0" w:line="360" w:lineRule="auto"/>
        <w:ind w:left="420" w:hanging="420" w:hanging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在初次的合同评审中，最大程度地识别场所之间的差异，场所的规模、服务活动的复杂程度、地域特点，以确定抽样水平的依据，结合以下因素抽取具有代表性的场所：</w:t>
      </w:r>
    </w:p>
    <w:p w14:paraId="4E404822">
      <w:pPr>
        <w:pStyle w:val="16"/>
        <w:numPr>
          <w:ilvl w:val="0"/>
          <w:numId w:val="22"/>
        </w:numPr>
        <w:tabs>
          <w:tab w:val="left" w:pos="84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总部及其他场所的内部审查的结果；</w:t>
      </w:r>
    </w:p>
    <w:p w14:paraId="131C1DB7">
      <w:pPr>
        <w:pStyle w:val="16"/>
        <w:numPr>
          <w:ilvl w:val="0"/>
          <w:numId w:val="22"/>
        </w:numPr>
        <w:tabs>
          <w:tab w:val="left" w:pos="845"/>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管理评审的结果；</w:t>
      </w:r>
    </w:p>
    <w:p w14:paraId="38ACB565">
      <w:pPr>
        <w:pStyle w:val="16"/>
        <w:numPr>
          <w:ilvl w:val="0"/>
          <w:numId w:val="22"/>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场所规模的差异；</w:t>
      </w:r>
    </w:p>
    <w:p w14:paraId="54B7BB35">
      <w:pPr>
        <w:pStyle w:val="16"/>
        <w:numPr>
          <w:ilvl w:val="0"/>
          <w:numId w:val="22"/>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不同场所在实施服务管理方面的差异；</w:t>
      </w:r>
    </w:p>
    <w:p w14:paraId="2795C017">
      <w:pPr>
        <w:pStyle w:val="16"/>
        <w:numPr>
          <w:ilvl w:val="0"/>
          <w:numId w:val="22"/>
        </w:numPr>
        <w:tabs>
          <w:tab w:val="left" w:pos="85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任何不同的法规要求；</w:t>
      </w:r>
    </w:p>
    <w:p w14:paraId="36F6F20C">
      <w:pPr>
        <w:pStyle w:val="16"/>
        <w:numPr>
          <w:ilvl w:val="0"/>
          <w:numId w:val="22"/>
        </w:numPr>
        <w:tabs>
          <w:tab w:val="left" w:pos="841"/>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业务活动的差异及复杂程度；</w:t>
      </w:r>
    </w:p>
    <w:p w14:paraId="3AB078F9">
      <w:pPr>
        <w:pStyle w:val="16"/>
        <w:numPr>
          <w:ilvl w:val="0"/>
          <w:numId w:val="22"/>
        </w:numPr>
        <w:tabs>
          <w:tab w:val="left" w:pos="833"/>
        </w:tabs>
        <w:spacing w:before="0" w:line="360" w:lineRule="auto"/>
        <w:contextualSpacing/>
        <w:jc w:val="both"/>
        <w:rPr>
          <w:rFonts w:ascii="Times New Roman" w:hAnsi="Times New Roman" w:cs="Times New Roman" w:eastAsiaTheme="minorEastAsia"/>
          <w:kern w:val="21"/>
          <w:sz w:val="21"/>
          <w:szCs w:val="21"/>
        </w:rPr>
      </w:pPr>
      <w:r>
        <w:rPr>
          <w:rFonts w:ascii="Times New Roman" w:hAnsi="Times New Roman" w:cs="Times New Roman" w:eastAsiaTheme="minorEastAsia"/>
          <w:kern w:val="21"/>
          <w:sz w:val="21"/>
          <w:szCs w:val="21"/>
        </w:rPr>
        <w:t>不同地域及其分布；</w:t>
      </w:r>
    </w:p>
    <w:p w14:paraId="1F1DAE4B">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从客户组织的服务范围内所有场所中选择具有代表性的样本，这种选择应基于一个可体现上述2</w:t>
      </w:r>
      <w:r>
        <w:rPr>
          <w:rFonts w:hint="eastAsia" w:ascii="Times New Roman" w:hAnsi="Times New Roman" w:cs="Times New Roman" w:eastAsiaTheme="minorEastAsia"/>
          <w:kern w:val="21"/>
        </w:rPr>
        <w:t>）</w:t>
      </w:r>
      <w:r>
        <w:rPr>
          <w:rFonts w:ascii="Times New Roman" w:hAnsi="Times New Roman" w:cs="Times New Roman" w:eastAsiaTheme="minorEastAsia"/>
          <w:kern w:val="21"/>
        </w:rPr>
        <w:t>中所列因素，同时也考虑随机因素；</w:t>
      </w:r>
    </w:p>
    <w:p w14:paraId="50B431CF">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根据上述要求，策划审查方案时，并在三年的时间内覆盖服务认证范围内的代表性样本；无论是在总部还是在单个场所发现不符合，纠正措施规程的实施适用于包括认证范围内的总部和所有场所。</w:t>
      </w:r>
    </w:p>
    <w:p w14:paraId="2BE7C5BD">
      <w:pPr>
        <w:pStyle w:val="5"/>
        <w:spacing w:before="0" w:line="360" w:lineRule="auto"/>
        <w:ind w:left="0" w:firstLine="420" w:firstLineChars="200"/>
        <w:contextualSpacing/>
        <w:jc w:val="both"/>
        <w:rPr>
          <w:rFonts w:ascii="Times New Roman" w:hAnsi="Times New Roman" w:cs="Times New Roman" w:eastAsiaTheme="minorEastAsia"/>
          <w:kern w:val="21"/>
        </w:rPr>
      </w:pPr>
      <w:r>
        <w:rPr>
          <w:rFonts w:ascii="Times New Roman" w:hAnsi="Times New Roman" w:cs="Times New Roman" w:eastAsiaTheme="minorEastAsia"/>
          <w:kern w:val="21"/>
        </w:rPr>
        <w:t>注：设计抽样方法时，可根据申请人所属的行业性质、服务类别、场所的规模和分布特征、经费等因素来选择适宜的方法。可选择的抽样方法通常包括随机抽样、分层随机抽样等，每次抽样的场所最低数量一般宜为分场所数量的平方根（y=√x）</w:t>
      </w:r>
      <w:r>
        <w:rPr>
          <w:rFonts w:hint="eastAsia" w:ascii="Times New Roman" w:hAnsi="Times New Roman" w:cs="Times New Roman" w:eastAsiaTheme="minorEastAsia"/>
          <w:kern w:val="21"/>
        </w:rPr>
        <w:t>，向上取整</w:t>
      </w:r>
      <w:r>
        <w:rPr>
          <w:rFonts w:ascii="Times New Roman" w:hAnsi="Times New Roman" w:cs="Times New Roman" w:eastAsiaTheme="minorEastAsia"/>
          <w:kern w:val="21"/>
        </w:rPr>
        <w:t>。</w:t>
      </w:r>
    </w:p>
    <w:p w14:paraId="7599C0F1">
      <w:pPr>
        <w:pStyle w:val="16"/>
        <w:numPr>
          <w:ilvl w:val="1"/>
          <w:numId w:val="0"/>
        </w:numPr>
        <w:spacing w:before="0" w:line="360" w:lineRule="auto"/>
        <w:jc w:val="both"/>
        <w:rPr>
          <w:rFonts w:ascii="Times New Roman" w:hAnsi="Times New Roman" w:cs="Times New Roman" w:eastAsiaTheme="minorEastAsia"/>
          <w:kern w:val="21"/>
          <w:sz w:val="21"/>
          <w:szCs w:val="21"/>
        </w:rPr>
      </w:pPr>
      <w:bookmarkStart w:id="79" w:name="_Toc200814020"/>
      <w:r>
        <w:rPr>
          <w:rFonts w:hint="eastAsia" w:ascii="Times New Roman" w:hAnsi="Times New Roman" w:cs="Times New Roman" w:eastAsiaTheme="minorEastAsia"/>
          <w:kern w:val="21"/>
          <w:sz w:val="21"/>
          <w:szCs w:val="21"/>
        </w:rPr>
        <w:t xml:space="preserve">8.4 </w:t>
      </w:r>
      <w:r>
        <w:rPr>
          <w:rFonts w:ascii="Times New Roman" w:hAnsi="Times New Roman" w:cs="Times New Roman" w:eastAsiaTheme="minorEastAsia"/>
          <w:kern w:val="21"/>
          <w:sz w:val="21"/>
          <w:szCs w:val="21"/>
        </w:rPr>
        <w:t>审查时间</w:t>
      </w:r>
      <w:bookmarkEnd w:id="79"/>
    </w:p>
    <w:p w14:paraId="268BE33A">
      <w:pPr>
        <w:pStyle w:val="5"/>
        <w:spacing w:before="0" w:line="360" w:lineRule="auto"/>
        <w:ind w:left="0" w:firstLine="420" w:firstLineChars="200"/>
        <w:contextualSpacing/>
        <w:jc w:val="both"/>
        <w:rPr>
          <w:rFonts w:ascii="Times New Roman" w:hAnsi="Times New Roman" w:cs="Times New Roman" w:eastAsiaTheme="minorEastAsia"/>
        </w:rPr>
        <w:sectPr>
          <w:footerReference r:id="rId5" w:type="default"/>
          <w:pgSz w:w="11911" w:h="16838"/>
          <w:pgMar w:top="1417" w:right="1134" w:bottom="1134" w:left="1134" w:header="737" w:footer="850" w:gutter="0"/>
          <w:pgNumType w:start="1"/>
          <w:cols w:space="0" w:num="1"/>
          <w:docGrid w:linePitch="299" w:charSpace="0"/>
        </w:sectPr>
      </w:pPr>
      <w:r>
        <w:rPr>
          <w:rFonts w:ascii="Times New Roman" w:hAnsi="Times New Roman" w:cs="Times New Roman" w:eastAsiaTheme="minorEastAsia"/>
          <w:kern w:val="21"/>
        </w:rPr>
        <w:t>应考虑每个场所的服务人数以及每个场所在体系中的职能及复杂程度，计算每个场所（包括总部）的审查人日数。总部的审查人日数不能少于将总部的人数对应</w:t>
      </w:r>
      <w:r>
        <w:rPr>
          <w:rFonts w:hint="eastAsia" w:ascii="Times New Roman" w:hAnsi="Times New Roman" w:cs="Times New Roman" w:eastAsiaTheme="minorEastAsia"/>
          <w:kern w:val="21"/>
        </w:rPr>
        <w:t>附件一，</w:t>
      </w:r>
      <w:r>
        <w:rPr>
          <w:rFonts w:ascii="Times New Roman" w:hAnsi="Times New Roman" w:cs="Times New Roman" w:eastAsiaTheme="minorEastAsia"/>
          <w:kern w:val="21"/>
        </w:rPr>
        <w:t>所得出的审查人日数的70%。当按照分场所分别计算所得出的审查人日如果少于按照一个场所总人数计算得出的审查人日时，应按后者计算审查人日</w:t>
      </w:r>
    </w:p>
    <w:p w14:paraId="0670586E">
      <w:pPr>
        <w:pStyle w:val="2"/>
        <w:bidi w:val="0"/>
      </w:pPr>
      <w:bookmarkStart w:id="80" w:name="_Toc200814021"/>
      <w:bookmarkStart w:id="81" w:name="_Toc5534"/>
      <w:r>
        <w:rPr>
          <w:rFonts w:hint="eastAsia"/>
        </w:rPr>
        <w:t>附件一</w:t>
      </w:r>
      <w:bookmarkEnd w:id="80"/>
      <w:r>
        <w:rPr>
          <w:rFonts w:hint="eastAsia"/>
          <w:lang w:val="en-US" w:eastAsia="zh-CN"/>
        </w:rPr>
        <w:t xml:space="preserve">     </w:t>
      </w:r>
      <w:r>
        <w:rPr>
          <w:rFonts w:hint="eastAsia"/>
        </w:rPr>
        <w:t>认证人日数表</w:t>
      </w:r>
      <w:bookmarkEnd w:id="81"/>
    </w:p>
    <w:tbl>
      <w:tblPr>
        <w:tblStyle w:val="12"/>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70A91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restart"/>
            <w:tcBorders>
              <w:bottom w:val="nil"/>
            </w:tcBorders>
            <w:vAlign w:val="center"/>
          </w:tcPr>
          <w:p w14:paraId="48D127C4">
            <w:pPr>
              <w:pStyle w:val="22"/>
              <w:adjustRightInd/>
              <w:snapToGrid/>
              <w:spacing w:after="0"/>
              <w:contextualSpacing/>
              <w:jc w:val="center"/>
              <w:rPr>
                <w:rFonts w:hint="eastAsia" w:ascii="宋体" w:hAnsi="宋体" w:eastAsia="宋体"/>
                <w:sz w:val="21"/>
                <w:szCs w:val="21"/>
              </w:rPr>
            </w:pPr>
            <w:bookmarkStart w:id="82" w:name="_Toc200814023"/>
            <w:r>
              <w:rPr>
                <w:rFonts w:ascii="宋体" w:hAnsi="宋体" w:eastAsia="宋体"/>
                <w:b/>
                <w:bCs/>
                <w:spacing w:val="-7"/>
                <w:sz w:val="21"/>
                <w:szCs w:val="21"/>
              </w:rPr>
              <w:t>有效人数</w:t>
            </w:r>
          </w:p>
        </w:tc>
        <w:tc>
          <w:tcPr>
            <w:tcW w:w="2758" w:type="dxa"/>
            <w:vAlign w:val="center"/>
          </w:tcPr>
          <w:p w14:paraId="1AEF58E1">
            <w:pPr>
              <w:pStyle w:val="22"/>
              <w:adjustRightInd/>
              <w:snapToGrid/>
              <w:spacing w:after="0"/>
              <w:contextualSpacing/>
              <w:jc w:val="center"/>
              <w:rPr>
                <w:rFonts w:hint="eastAsia" w:ascii="宋体" w:hAnsi="宋体" w:eastAsia="宋体"/>
                <w:sz w:val="21"/>
                <w:szCs w:val="21"/>
              </w:rPr>
            </w:pPr>
            <w:r>
              <w:rPr>
                <w:rFonts w:ascii="宋体" w:hAnsi="宋体" w:eastAsia="宋体"/>
                <w:b/>
                <w:bCs/>
                <w:spacing w:val="-10"/>
                <w:sz w:val="21"/>
                <w:szCs w:val="21"/>
              </w:rPr>
              <w:t>审核时间</w:t>
            </w:r>
          </w:p>
        </w:tc>
        <w:tc>
          <w:tcPr>
            <w:tcW w:w="1724" w:type="dxa"/>
            <w:vMerge w:val="restart"/>
            <w:tcBorders>
              <w:bottom w:val="nil"/>
            </w:tcBorders>
            <w:vAlign w:val="center"/>
          </w:tcPr>
          <w:p w14:paraId="6B317EEF">
            <w:pPr>
              <w:pStyle w:val="22"/>
              <w:adjustRightInd/>
              <w:snapToGrid/>
              <w:spacing w:after="0"/>
              <w:contextualSpacing/>
              <w:jc w:val="center"/>
              <w:rPr>
                <w:rFonts w:hint="eastAsia" w:ascii="宋体" w:hAnsi="宋体" w:eastAsia="宋体"/>
                <w:sz w:val="21"/>
                <w:szCs w:val="21"/>
              </w:rPr>
            </w:pPr>
            <w:r>
              <w:rPr>
                <w:rFonts w:ascii="宋体" w:hAnsi="宋体" w:eastAsia="宋体"/>
                <w:b/>
                <w:bCs/>
                <w:spacing w:val="-7"/>
                <w:sz w:val="21"/>
                <w:szCs w:val="21"/>
              </w:rPr>
              <w:t>有效人数</w:t>
            </w:r>
          </w:p>
        </w:tc>
        <w:tc>
          <w:tcPr>
            <w:tcW w:w="2850" w:type="dxa"/>
            <w:vAlign w:val="center"/>
          </w:tcPr>
          <w:p w14:paraId="64DF96CD">
            <w:pPr>
              <w:pStyle w:val="22"/>
              <w:adjustRightInd/>
              <w:snapToGrid/>
              <w:spacing w:after="0"/>
              <w:contextualSpacing/>
              <w:jc w:val="center"/>
              <w:rPr>
                <w:rFonts w:hint="eastAsia" w:ascii="宋体" w:hAnsi="宋体" w:eastAsia="宋体"/>
                <w:sz w:val="21"/>
                <w:szCs w:val="21"/>
              </w:rPr>
            </w:pPr>
            <w:r>
              <w:rPr>
                <w:rFonts w:ascii="宋体" w:hAnsi="宋体" w:eastAsia="宋体"/>
                <w:b/>
                <w:bCs/>
                <w:spacing w:val="-10"/>
                <w:sz w:val="21"/>
                <w:szCs w:val="21"/>
              </w:rPr>
              <w:t>审核时间</w:t>
            </w:r>
          </w:p>
        </w:tc>
      </w:tr>
      <w:tr w14:paraId="283B7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continue"/>
            <w:tcBorders>
              <w:top w:val="nil"/>
            </w:tcBorders>
            <w:vAlign w:val="center"/>
          </w:tcPr>
          <w:p w14:paraId="22480EB3">
            <w:pPr>
              <w:contextualSpacing/>
              <w:jc w:val="center"/>
              <w:rPr>
                <w:rFonts w:hint="eastAsia" w:cs="Arial"/>
                <w:snapToGrid w:val="0"/>
                <w:color w:val="000000"/>
                <w:szCs w:val="21"/>
                <w:lang w:eastAsia="en-US"/>
              </w:rPr>
            </w:pPr>
          </w:p>
        </w:tc>
        <w:tc>
          <w:tcPr>
            <w:tcW w:w="2758" w:type="dxa"/>
            <w:vAlign w:val="center"/>
          </w:tcPr>
          <w:p w14:paraId="4168B647">
            <w:pPr>
              <w:pStyle w:val="22"/>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39"/>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30"/>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6925A60B">
            <w:pPr>
              <w:pStyle w:val="22"/>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c>
          <w:tcPr>
            <w:tcW w:w="1724" w:type="dxa"/>
            <w:vMerge w:val="continue"/>
            <w:tcBorders>
              <w:top w:val="nil"/>
            </w:tcBorders>
            <w:vAlign w:val="center"/>
          </w:tcPr>
          <w:p w14:paraId="645FF58C">
            <w:pPr>
              <w:contextualSpacing/>
              <w:jc w:val="center"/>
              <w:rPr>
                <w:rFonts w:hint="eastAsia" w:cs="Arial"/>
                <w:snapToGrid w:val="0"/>
                <w:color w:val="000000"/>
                <w:szCs w:val="21"/>
              </w:rPr>
            </w:pPr>
          </w:p>
        </w:tc>
        <w:tc>
          <w:tcPr>
            <w:tcW w:w="2850" w:type="dxa"/>
            <w:vAlign w:val="center"/>
          </w:tcPr>
          <w:p w14:paraId="505BD7DF">
            <w:pPr>
              <w:pStyle w:val="22"/>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42"/>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6E7561F2">
            <w:pPr>
              <w:pStyle w:val="22"/>
              <w:adjustRightInd/>
              <w:snapToGrid/>
              <w:spacing w:after="0"/>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r>
      <w:tr w14:paraId="5AF33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0D1A5621">
            <w:pPr>
              <w:pStyle w:val="22"/>
              <w:adjustRightInd/>
              <w:snapToGrid/>
              <w:spacing w:after="0"/>
              <w:contextualSpacing/>
              <w:jc w:val="center"/>
              <w:rPr>
                <w:rFonts w:hint="eastAsia" w:ascii="宋体" w:hAnsi="宋体" w:eastAsia="宋体"/>
                <w:sz w:val="21"/>
                <w:szCs w:val="21"/>
              </w:rPr>
            </w:pPr>
            <w:r>
              <w:rPr>
                <w:rFonts w:hint="eastAsia" w:ascii="宋体" w:hAnsi="宋体" w:eastAsia="宋体"/>
                <w:spacing w:val="-6"/>
                <w:sz w:val="21"/>
                <w:szCs w:val="21"/>
                <w:lang w:val="en-US" w:eastAsia="zh-CN"/>
              </w:rPr>
              <w:t>1</w:t>
            </w:r>
            <w:r>
              <w:rPr>
                <w:rFonts w:ascii="宋体" w:hAnsi="宋体" w:eastAsia="宋体"/>
                <w:spacing w:val="-6"/>
                <w:sz w:val="21"/>
                <w:szCs w:val="21"/>
              </w:rPr>
              <w:t>-25</w:t>
            </w:r>
          </w:p>
        </w:tc>
        <w:tc>
          <w:tcPr>
            <w:tcW w:w="2758" w:type="dxa"/>
            <w:vAlign w:val="center"/>
          </w:tcPr>
          <w:p w14:paraId="4666F047">
            <w:pPr>
              <w:pStyle w:val="22"/>
              <w:adjustRightInd/>
              <w:snapToGrid/>
              <w:spacing w:after="0"/>
              <w:contextualSpacing/>
              <w:jc w:val="center"/>
              <w:rPr>
                <w:rFonts w:hint="eastAsia" w:ascii="宋体" w:hAnsi="宋体" w:eastAsia="宋体"/>
                <w:sz w:val="21"/>
                <w:szCs w:val="21"/>
                <w:lang w:eastAsia="zh-CN"/>
              </w:rPr>
            </w:pPr>
            <w:r>
              <w:rPr>
                <w:rFonts w:hint="eastAsia" w:ascii="宋体" w:hAnsi="宋体" w:eastAsia="宋体"/>
                <w:spacing w:val="-7"/>
                <w:sz w:val="21"/>
                <w:szCs w:val="21"/>
                <w:lang w:eastAsia="zh-CN"/>
              </w:rPr>
              <w:t>3</w:t>
            </w:r>
          </w:p>
        </w:tc>
        <w:tc>
          <w:tcPr>
            <w:tcW w:w="1724" w:type="dxa"/>
            <w:shd w:val="clear" w:color="auto" w:fill="auto"/>
            <w:vAlign w:val="center"/>
          </w:tcPr>
          <w:p w14:paraId="761CA7C9">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1176-1550</w:t>
            </w:r>
          </w:p>
        </w:tc>
        <w:tc>
          <w:tcPr>
            <w:tcW w:w="2850" w:type="dxa"/>
            <w:vAlign w:val="center"/>
          </w:tcPr>
          <w:p w14:paraId="445DBB9C">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14</w:t>
            </w:r>
          </w:p>
        </w:tc>
      </w:tr>
      <w:tr w14:paraId="4818B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840" w:type="dxa"/>
            <w:shd w:val="clear" w:color="auto" w:fill="auto"/>
            <w:vAlign w:val="center"/>
          </w:tcPr>
          <w:p w14:paraId="3FA8BFF3">
            <w:pPr>
              <w:pStyle w:val="22"/>
              <w:adjustRightInd/>
              <w:snapToGrid/>
              <w:spacing w:after="0"/>
              <w:contextualSpacing/>
              <w:jc w:val="center"/>
              <w:rPr>
                <w:rFonts w:hint="eastAsia" w:ascii="宋体" w:hAnsi="宋体" w:eastAsia="宋体" w:cs="仿宋"/>
                <w:snapToGrid w:val="0"/>
                <w:color w:val="000000"/>
                <w:sz w:val="21"/>
                <w:szCs w:val="21"/>
                <w:lang w:val="en-US" w:eastAsia="zh-CN" w:bidi="ar-SA"/>
              </w:rPr>
            </w:pPr>
            <w:r>
              <w:rPr>
                <w:rFonts w:ascii="宋体" w:hAnsi="宋体" w:eastAsia="宋体"/>
                <w:spacing w:val="-4"/>
                <w:sz w:val="21"/>
                <w:szCs w:val="21"/>
              </w:rPr>
              <w:t>26-45</w:t>
            </w:r>
          </w:p>
        </w:tc>
        <w:tc>
          <w:tcPr>
            <w:tcW w:w="2758" w:type="dxa"/>
            <w:vAlign w:val="center"/>
          </w:tcPr>
          <w:p w14:paraId="47D89F2C">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4</w:t>
            </w:r>
          </w:p>
        </w:tc>
        <w:tc>
          <w:tcPr>
            <w:tcW w:w="1724" w:type="dxa"/>
            <w:shd w:val="clear" w:color="auto" w:fill="auto"/>
            <w:vAlign w:val="center"/>
          </w:tcPr>
          <w:p w14:paraId="5C5F4947">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1551-2025</w:t>
            </w:r>
          </w:p>
        </w:tc>
        <w:tc>
          <w:tcPr>
            <w:tcW w:w="2850" w:type="dxa"/>
            <w:vAlign w:val="center"/>
          </w:tcPr>
          <w:p w14:paraId="4E8B1105">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15</w:t>
            </w:r>
          </w:p>
        </w:tc>
      </w:tr>
      <w:tr w14:paraId="0F440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7798A313">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46-65</w:t>
            </w:r>
          </w:p>
        </w:tc>
        <w:tc>
          <w:tcPr>
            <w:tcW w:w="2758" w:type="dxa"/>
            <w:vAlign w:val="center"/>
          </w:tcPr>
          <w:p w14:paraId="35B4FFB2">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5</w:t>
            </w:r>
          </w:p>
        </w:tc>
        <w:tc>
          <w:tcPr>
            <w:tcW w:w="1724" w:type="dxa"/>
            <w:shd w:val="clear" w:color="auto" w:fill="auto"/>
            <w:vAlign w:val="center"/>
          </w:tcPr>
          <w:p w14:paraId="7BC229CD">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2026-2675</w:t>
            </w:r>
          </w:p>
        </w:tc>
        <w:tc>
          <w:tcPr>
            <w:tcW w:w="2850" w:type="dxa"/>
            <w:vAlign w:val="center"/>
          </w:tcPr>
          <w:p w14:paraId="62CA8B04">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16</w:t>
            </w:r>
          </w:p>
        </w:tc>
      </w:tr>
      <w:tr w14:paraId="12379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3FEED3AC">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5"/>
                <w:sz w:val="21"/>
                <w:szCs w:val="21"/>
              </w:rPr>
              <w:t>66-85</w:t>
            </w:r>
          </w:p>
        </w:tc>
        <w:tc>
          <w:tcPr>
            <w:tcW w:w="2758" w:type="dxa"/>
            <w:vAlign w:val="center"/>
          </w:tcPr>
          <w:p w14:paraId="483B4945">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6</w:t>
            </w:r>
          </w:p>
        </w:tc>
        <w:tc>
          <w:tcPr>
            <w:tcW w:w="1724" w:type="dxa"/>
            <w:shd w:val="clear" w:color="auto" w:fill="auto"/>
            <w:vAlign w:val="center"/>
          </w:tcPr>
          <w:p w14:paraId="2576C977">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2676-3450</w:t>
            </w:r>
          </w:p>
        </w:tc>
        <w:tc>
          <w:tcPr>
            <w:tcW w:w="2850" w:type="dxa"/>
            <w:vAlign w:val="center"/>
          </w:tcPr>
          <w:p w14:paraId="591B9533">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17</w:t>
            </w:r>
          </w:p>
        </w:tc>
      </w:tr>
      <w:tr w14:paraId="31CAF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7AA1CE0D">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86-125</w:t>
            </w:r>
          </w:p>
        </w:tc>
        <w:tc>
          <w:tcPr>
            <w:tcW w:w="2758" w:type="dxa"/>
            <w:vAlign w:val="center"/>
          </w:tcPr>
          <w:p w14:paraId="2C6ABC6A">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7</w:t>
            </w:r>
          </w:p>
        </w:tc>
        <w:tc>
          <w:tcPr>
            <w:tcW w:w="1724" w:type="dxa"/>
            <w:shd w:val="clear" w:color="auto" w:fill="auto"/>
            <w:vAlign w:val="center"/>
          </w:tcPr>
          <w:p w14:paraId="15CAF35F">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3451-4350</w:t>
            </w:r>
          </w:p>
        </w:tc>
        <w:tc>
          <w:tcPr>
            <w:tcW w:w="2850" w:type="dxa"/>
            <w:vAlign w:val="center"/>
          </w:tcPr>
          <w:p w14:paraId="25E73438">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18</w:t>
            </w:r>
          </w:p>
        </w:tc>
      </w:tr>
      <w:tr w14:paraId="1F8BF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538D3490">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126-175</w:t>
            </w:r>
          </w:p>
        </w:tc>
        <w:tc>
          <w:tcPr>
            <w:tcW w:w="2758" w:type="dxa"/>
            <w:vAlign w:val="center"/>
          </w:tcPr>
          <w:p w14:paraId="6B265F09">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8</w:t>
            </w:r>
          </w:p>
        </w:tc>
        <w:tc>
          <w:tcPr>
            <w:tcW w:w="1724" w:type="dxa"/>
            <w:shd w:val="clear" w:color="auto" w:fill="auto"/>
            <w:vAlign w:val="center"/>
          </w:tcPr>
          <w:p w14:paraId="3A18DD99">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4351-5450</w:t>
            </w:r>
          </w:p>
        </w:tc>
        <w:tc>
          <w:tcPr>
            <w:tcW w:w="2850" w:type="dxa"/>
            <w:vAlign w:val="center"/>
          </w:tcPr>
          <w:p w14:paraId="66F9FDD6">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19</w:t>
            </w:r>
          </w:p>
        </w:tc>
      </w:tr>
      <w:tr w14:paraId="43983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56A898C9">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176-275</w:t>
            </w:r>
          </w:p>
        </w:tc>
        <w:tc>
          <w:tcPr>
            <w:tcW w:w="2758" w:type="dxa"/>
            <w:vAlign w:val="center"/>
          </w:tcPr>
          <w:p w14:paraId="1CFA3B6D">
            <w:pPr>
              <w:pStyle w:val="22"/>
              <w:adjustRightInd/>
              <w:snapToGrid/>
              <w:spacing w:after="0"/>
              <w:contextualSpacing/>
              <w:jc w:val="center"/>
              <w:rPr>
                <w:rFonts w:hint="eastAsia" w:ascii="宋体" w:hAnsi="宋体" w:eastAsia="宋体"/>
                <w:sz w:val="21"/>
                <w:szCs w:val="21"/>
              </w:rPr>
            </w:pPr>
            <w:r>
              <w:rPr>
                <w:rFonts w:ascii="宋体" w:hAnsi="宋体" w:eastAsia="宋体"/>
                <w:sz w:val="21"/>
                <w:szCs w:val="21"/>
              </w:rPr>
              <w:t>9</w:t>
            </w:r>
          </w:p>
        </w:tc>
        <w:tc>
          <w:tcPr>
            <w:tcW w:w="1724" w:type="dxa"/>
            <w:shd w:val="clear" w:color="auto" w:fill="auto"/>
            <w:vAlign w:val="center"/>
          </w:tcPr>
          <w:p w14:paraId="46C6875C">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5451-6800</w:t>
            </w:r>
          </w:p>
        </w:tc>
        <w:tc>
          <w:tcPr>
            <w:tcW w:w="2850" w:type="dxa"/>
            <w:vAlign w:val="center"/>
          </w:tcPr>
          <w:p w14:paraId="4943A831">
            <w:pPr>
              <w:pStyle w:val="22"/>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20</w:t>
            </w:r>
          </w:p>
        </w:tc>
      </w:tr>
      <w:tr w14:paraId="4C43B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42555556">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276-425</w:t>
            </w:r>
          </w:p>
        </w:tc>
        <w:tc>
          <w:tcPr>
            <w:tcW w:w="2758" w:type="dxa"/>
            <w:vAlign w:val="center"/>
          </w:tcPr>
          <w:p w14:paraId="5EB79A7C">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10</w:t>
            </w:r>
          </w:p>
        </w:tc>
        <w:tc>
          <w:tcPr>
            <w:tcW w:w="1724" w:type="dxa"/>
            <w:shd w:val="clear" w:color="auto" w:fill="auto"/>
            <w:vAlign w:val="center"/>
          </w:tcPr>
          <w:p w14:paraId="44AE6382">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6801-8500</w:t>
            </w:r>
          </w:p>
        </w:tc>
        <w:tc>
          <w:tcPr>
            <w:tcW w:w="2850" w:type="dxa"/>
            <w:vAlign w:val="center"/>
          </w:tcPr>
          <w:p w14:paraId="712C519C">
            <w:pPr>
              <w:pStyle w:val="22"/>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21</w:t>
            </w:r>
          </w:p>
        </w:tc>
      </w:tr>
      <w:tr w14:paraId="5BC8D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5BCE6F21">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426-625</w:t>
            </w:r>
          </w:p>
        </w:tc>
        <w:tc>
          <w:tcPr>
            <w:tcW w:w="2758" w:type="dxa"/>
            <w:vAlign w:val="center"/>
          </w:tcPr>
          <w:p w14:paraId="198A2EF1">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11</w:t>
            </w:r>
          </w:p>
        </w:tc>
        <w:tc>
          <w:tcPr>
            <w:tcW w:w="1724" w:type="dxa"/>
            <w:shd w:val="clear" w:color="auto" w:fill="auto"/>
            <w:vAlign w:val="center"/>
          </w:tcPr>
          <w:p w14:paraId="653780E1">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3"/>
                <w:sz w:val="21"/>
                <w:szCs w:val="21"/>
              </w:rPr>
              <w:t>8501-10700</w:t>
            </w:r>
          </w:p>
        </w:tc>
        <w:tc>
          <w:tcPr>
            <w:tcW w:w="2850" w:type="dxa"/>
            <w:vAlign w:val="center"/>
          </w:tcPr>
          <w:p w14:paraId="1D5833D2">
            <w:pPr>
              <w:pStyle w:val="22"/>
              <w:adjustRightInd/>
              <w:snapToGrid/>
              <w:spacing w:after="0"/>
              <w:contextualSpacing/>
              <w:jc w:val="center"/>
              <w:rPr>
                <w:rFonts w:hint="eastAsia" w:ascii="宋体" w:hAnsi="宋体" w:eastAsia="宋体"/>
                <w:sz w:val="21"/>
                <w:szCs w:val="21"/>
              </w:rPr>
            </w:pPr>
            <w:r>
              <w:rPr>
                <w:rFonts w:ascii="宋体" w:hAnsi="宋体" w:eastAsia="宋体"/>
                <w:spacing w:val="-10"/>
                <w:sz w:val="21"/>
                <w:szCs w:val="21"/>
              </w:rPr>
              <w:t>22</w:t>
            </w:r>
          </w:p>
        </w:tc>
      </w:tr>
      <w:tr w14:paraId="61A40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shd w:val="clear" w:color="auto" w:fill="auto"/>
            <w:vAlign w:val="center"/>
          </w:tcPr>
          <w:p w14:paraId="4213A61C">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626-875</w:t>
            </w:r>
          </w:p>
        </w:tc>
        <w:tc>
          <w:tcPr>
            <w:tcW w:w="2758" w:type="dxa"/>
            <w:vAlign w:val="center"/>
          </w:tcPr>
          <w:p w14:paraId="06D86029">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12</w:t>
            </w:r>
          </w:p>
        </w:tc>
        <w:tc>
          <w:tcPr>
            <w:tcW w:w="1724" w:type="dxa"/>
            <w:shd w:val="clear" w:color="auto" w:fill="auto"/>
            <w:vAlign w:val="center"/>
          </w:tcPr>
          <w:p w14:paraId="35EDAC28">
            <w:pPr>
              <w:pStyle w:val="22"/>
              <w:adjustRightInd/>
              <w:snapToGrid/>
              <w:spacing w:after="0"/>
              <w:contextualSpacing/>
              <w:jc w:val="center"/>
              <w:rPr>
                <w:rFonts w:hint="eastAsia" w:ascii="宋体" w:hAnsi="宋体" w:eastAsia="宋体" w:cs="仿宋"/>
                <w:snapToGrid w:val="0"/>
                <w:color w:val="000000"/>
                <w:sz w:val="21"/>
                <w:szCs w:val="21"/>
                <w:lang w:val="en-US" w:eastAsia="en-US" w:bidi="ar-SA"/>
              </w:rPr>
            </w:pPr>
            <w:r>
              <w:rPr>
                <w:rFonts w:ascii="宋体" w:hAnsi="宋体" w:eastAsia="宋体"/>
                <w:spacing w:val="-4"/>
                <w:sz w:val="21"/>
                <w:szCs w:val="21"/>
              </w:rPr>
              <w:t>&gt;10700</w:t>
            </w:r>
          </w:p>
        </w:tc>
        <w:tc>
          <w:tcPr>
            <w:tcW w:w="2850" w:type="dxa"/>
            <w:shd w:val="clear" w:color="auto" w:fill="auto"/>
            <w:vAlign w:val="center"/>
          </w:tcPr>
          <w:p w14:paraId="79F25B43">
            <w:pPr>
              <w:pStyle w:val="22"/>
              <w:adjustRightInd/>
              <w:snapToGrid/>
              <w:spacing w:after="0"/>
              <w:contextualSpacing/>
              <w:jc w:val="center"/>
              <w:rPr>
                <w:rFonts w:hint="eastAsia" w:ascii="宋体" w:hAnsi="宋体" w:eastAsia="宋体" w:cs="仿宋"/>
                <w:snapToGrid w:val="0"/>
                <w:color w:val="000000"/>
                <w:sz w:val="21"/>
                <w:szCs w:val="21"/>
                <w:lang w:val="en-US" w:eastAsia="zh-CN" w:bidi="ar-SA"/>
              </w:rPr>
            </w:pPr>
            <w:r>
              <w:rPr>
                <w:rFonts w:ascii="宋体" w:hAnsi="宋体" w:eastAsia="宋体"/>
                <w:spacing w:val="-2"/>
                <w:sz w:val="21"/>
                <w:szCs w:val="21"/>
              </w:rPr>
              <w:t>遵循上述递进规律</w:t>
            </w:r>
          </w:p>
        </w:tc>
      </w:tr>
      <w:tr w14:paraId="27A9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6C91FC8D">
            <w:pPr>
              <w:pStyle w:val="22"/>
              <w:adjustRightInd/>
              <w:snapToGrid/>
              <w:spacing w:after="0"/>
              <w:contextualSpacing/>
              <w:jc w:val="center"/>
              <w:rPr>
                <w:rFonts w:hint="eastAsia" w:ascii="宋体" w:hAnsi="宋体" w:eastAsia="宋体"/>
                <w:sz w:val="21"/>
                <w:szCs w:val="21"/>
                <w:lang w:eastAsia="zh-CN"/>
              </w:rPr>
            </w:pPr>
            <w:r>
              <w:rPr>
                <w:rFonts w:ascii="宋体" w:hAnsi="宋体" w:eastAsia="宋体"/>
                <w:spacing w:val="-3"/>
                <w:sz w:val="21"/>
                <w:szCs w:val="21"/>
              </w:rPr>
              <w:t>876-1175</w:t>
            </w:r>
            <w:r>
              <w:rPr>
                <w:rFonts w:hint="eastAsia" w:ascii="宋体" w:hAnsi="宋体" w:eastAsia="宋体"/>
                <w:spacing w:val="-4"/>
                <w:sz w:val="21"/>
                <w:szCs w:val="21"/>
                <w:lang w:val="en-US" w:eastAsia="zh-CN"/>
              </w:rPr>
              <w:t xml:space="preserve"> </w:t>
            </w:r>
          </w:p>
        </w:tc>
        <w:tc>
          <w:tcPr>
            <w:tcW w:w="2758" w:type="dxa"/>
            <w:vAlign w:val="center"/>
          </w:tcPr>
          <w:p w14:paraId="3792ABDA">
            <w:pPr>
              <w:pStyle w:val="22"/>
              <w:adjustRightInd/>
              <w:snapToGrid/>
              <w:spacing w:after="0"/>
              <w:contextualSpacing/>
              <w:jc w:val="center"/>
              <w:rPr>
                <w:rFonts w:hint="eastAsia" w:ascii="宋体" w:hAnsi="宋体" w:eastAsia="宋体"/>
                <w:sz w:val="21"/>
                <w:szCs w:val="21"/>
              </w:rPr>
            </w:pPr>
            <w:r>
              <w:rPr>
                <w:rFonts w:ascii="宋体" w:hAnsi="宋体" w:eastAsia="宋体"/>
                <w:spacing w:val="-14"/>
                <w:sz w:val="21"/>
                <w:szCs w:val="21"/>
              </w:rPr>
              <w:t>13</w:t>
            </w:r>
          </w:p>
        </w:tc>
        <w:tc>
          <w:tcPr>
            <w:tcW w:w="1724" w:type="dxa"/>
            <w:vAlign w:val="center"/>
          </w:tcPr>
          <w:p w14:paraId="10D7A323">
            <w:pPr>
              <w:pStyle w:val="22"/>
              <w:adjustRightInd/>
              <w:snapToGrid/>
              <w:spacing w:after="0"/>
              <w:contextualSpacing/>
              <w:jc w:val="center"/>
              <w:rPr>
                <w:rFonts w:hint="eastAsia" w:ascii="宋体" w:hAnsi="宋体" w:eastAsia="宋体"/>
                <w:sz w:val="21"/>
                <w:szCs w:val="21"/>
              </w:rPr>
            </w:pPr>
          </w:p>
        </w:tc>
        <w:tc>
          <w:tcPr>
            <w:tcW w:w="2850" w:type="dxa"/>
            <w:vAlign w:val="center"/>
          </w:tcPr>
          <w:p w14:paraId="3B9A407E">
            <w:pPr>
              <w:pStyle w:val="22"/>
              <w:adjustRightInd/>
              <w:snapToGrid/>
              <w:spacing w:after="0"/>
              <w:contextualSpacing/>
              <w:jc w:val="center"/>
              <w:rPr>
                <w:rFonts w:hint="eastAsia" w:ascii="宋体" w:hAnsi="宋体" w:eastAsia="宋体"/>
                <w:sz w:val="21"/>
                <w:szCs w:val="21"/>
              </w:rPr>
            </w:pPr>
          </w:p>
        </w:tc>
      </w:tr>
    </w:tbl>
    <w:p w14:paraId="1A61B558">
      <w:pPr>
        <w:spacing w:before="158" w:beforeLines="50" w:line="360" w:lineRule="auto"/>
        <w:ind w:firstLine="360" w:firstLineChars="200"/>
        <w:jc w:val="both"/>
        <w:rPr>
          <w:rFonts w:hint="eastAsia"/>
          <w:sz w:val="18"/>
          <w:szCs w:val="18"/>
        </w:rPr>
      </w:pPr>
      <w:r>
        <w:rPr>
          <w:rFonts w:hint="eastAsia"/>
          <w:sz w:val="18"/>
          <w:szCs w:val="18"/>
        </w:rPr>
        <w:t>注1：表中提到的“员工”是指与服务相关的员工人员（含企业在编人员及配送服务管理、监督、服务操作、联络等兼职人员），包括评价时将在场的非长期（季节性的、临时的和分包的）雇员。</w:t>
      </w:r>
    </w:p>
    <w:p w14:paraId="3176C09E">
      <w:pPr>
        <w:spacing w:line="360" w:lineRule="auto"/>
        <w:ind w:firstLine="360" w:firstLineChars="200"/>
        <w:jc w:val="both"/>
        <w:rPr>
          <w:rFonts w:hint="eastAsia"/>
          <w:sz w:val="18"/>
          <w:szCs w:val="18"/>
        </w:rPr>
      </w:pPr>
      <w:r>
        <w:rPr>
          <w:rFonts w:hint="eastAsia"/>
          <w:sz w:val="18"/>
          <w:szCs w:val="18"/>
        </w:rPr>
        <w:t>注2：与服务相关包括服务文化宣贯、服务网点管理、人员培训、监督部门、研究和改进、配送和维修执行、商品质量保证（采购）、客户关系维系、投诉接听和反馈、销售、设计等与服务系统运行相关的部门。</w:t>
      </w:r>
    </w:p>
    <w:p w14:paraId="33C84A76">
      <w:pPr>
        <w:spacing w:line="360" w:lineRule="auto"/>
        <w:ind w:firstLine="360" w:firstLineChars="200"/>
        <w:jc w:val="both"/>
        <w:rPr>
          <w:rFonts w:hint="eastAsia"/>
          <w:sz w:val="18"/>
          <w:szCs w:val="18"/>
        </w:rPr>
      </w:pPr>
      <w:r>
        <w:rPr>
          <w:rFonts w:hint="eastAsia"/>
          <w:sz w:val="18"/>
          <w:szCs w:val="18"/>
        </w:rPr>
        <w:t>注3：一个“评价人日”通常指8小时完整的正常工作日，不能通过增加每天的工作时间来减少要使用的审查员天数。</w:t>
      </w:r>
    </w:p>
    <w:p w14:paraId="25DD5B46">
      <w:pPr>
        <w:spacing w:line="360" w:lineRule="auto"/>
        <w:ind w:firstLine="360" w:firstLineChars="200"/>
        <w:jc w:val="both"/>
        <w:rPr>
          <w:rFonts w:hint="eastAsia"/>
          <w:sz w:val="18"/>
          <w:szCs w:val="18"/>
        </w:rPr>
      </w:pPr>
      <w:r>
        <w:rPr>
          <w:rFonts w:hint="eastAsia"/>
          <w:sz w:val="18"/>
          <w:szCs w:val="18"/>
        </w:rPr>
        <w:t>注4：认证以相同产品类别的单一配送服务系统为对象。</w:t>
      </w:r>
    </w:p>
    <w:p w14:paraId="38034E11">
      <w:pPr>
        <w:spacing w:line="360" w:lineRule="auto"/>
        <w:ind w:firstLine="360" w:firstLineChars="200"/>
        <w:jc w:val="both"/>
        <w:rPr>
          <w:rFonts w:hint="eastAsia"/>
          <w:b/>
          <w:bCs/>
          <w:sz w:val="18"/>
          <w:szCs w:val="18"/>
        </w:rPr>
      </w:pPr>
      <w:r>
        <w:rPr>
          <w:rFonts w:hint="eastAsia"/>
          <w:b/>
          <w:bCs/>
          <w:sz w:val="18"/>
          <w:szCs w:val="18"/>
        </w:rPr>
        <w:t xml:space="preserve">注5： </w:t>
      </w:r>
      <w:r>
        <w:rPr>
          <w:b/>
          <w:bCs/>
          <w:sz w:val="18"/>
          <w:szCs w:val="18"/>
        </w:rPr>
        <w:t>初次认证时，现场审查（至少包括服务特性要求测评和服务管理要求审核）人日数不得低于2人日。涉及“住宿服务；食品和饮料服务”“邮政和速递服务”“电力分配服务；通过主要管道的燃气和水分配服务”“金融中介、保险和辅助服务”“科学研究服务”“电信服务；信息检索和提供服务”“教育服务”“卫生保健和社会福利服务”“污水和垃圾处置、公共卫生及其他环境保护服务”等领域的，现场审查人日数不得低于3人日。服务特性要求测评的人日数不宜低于服务管理要求审核的人日数，且应当与其工作量相匹配。</w:t>
      </w:r>
    </w:p>
    <w:p w14:paraId="1904AB33">
      <w:pPr>
        <w:pStyle w:val="2"/>
      </w:pPr>
    </w:p>
    <w:p w14:paraId="195EFFC0">
      <w:pPr>
        <w:pStyle w:val="2"/>
        <w:rPr>
          <w:rFonts w:hint="eastAsia"/>
        </w:rPr>
      </w:pPr>
    </w:p>
    <w:p w14:paraId="4D99A9DF">
      <w:pPr>
        <w:pStyle w:val="2"/>
        <w:rPr>
          <w:rFonts w:hint="eastAsia"/>
        </w:rPr>
      </w:pPr>
    </w:p>
    <w:p w14:paraId="1CF70437">
      <w:pPr>
        <w:pStyle w:val="2"/>
        <w:rPr>
          <w:rFonts w:hint="eastAsia"/>
        </w:rPr>
      </w:pPr>
    </w:p>
    <w:p w14:paraId="48B29809">
      <w:pPr>
        <w:pStyle w:val="2"/>
        <w:rPr>
          <w:rFonts w:hint="eastAsia"/>
        </w:rPr>
      </w:pPr>
    </w:p>
    <w:p w14:paraId="4F92C31C">
      <w:pPr>
        <w:pStyle w:val="2"/>
        <w:rPr>
          <w:rFonts w:hint="eastAsia"/>
        </w:rPr>
      </w:pPr>
    </w:p>
    <w:p w14:paraId="54E2D5E4">
      <w:pPr>
        <w:pStyle w:val="2"/>
        <w:rPr>
          <w:rFonts w:hint="eastAsia"/>
        </w:rPr>
      </w:pPr>
    </w:p>
    <w:p w14:paraId="54765F9E">
      <w:pPr>
        <w:pStyle w:val="2"/>
        <w:rPr>
          <w:rFonts w:hint="eastAsia"/>
        </w:rPr>
      </w:pPr>
    </w:p>
    <w:p w14:paraId="284FEEFE">
      <w:pPr>
        <w:pStyle w:val="2"/>
        <w:rPr>
          <w:rFonts w:hint="eastAsia"/>
        </w:rPr>
      </w:pPr>
    </w:p>
    <w:p w14:paraId="44E29819">
      <w:pPr>
        <w:pStyle w:val="2"/>
        <w:bidi w:val="0"/>
      </w:pPr>
      <w:bookmarkStart w:id="83" w:name="_Toc5611"/>
      <w:r>
        <w:rPr>
          <w:rFonts w:hint="eastAsia"/>
        </w:rPr>
        <w:t>附件二</w:t>
      </w:r>
      <w:bookmarkEnd w:id="82"/>
      <w:bookmarkStart w:id="84" w:name="_Toc200814024"/>
      <w:r>
        <w:rPr>
          <w:rFonts w:hint="eastAsia"/>
          <w:lang w:val="en-US" w:eastAsia="zh-CN"/>
        </w:rPr>
        <w:t xml:space="preserve">  </w:t>
      </w:r>
      <w:r>
        <w:t>认证业务范围</w:t>
      </w:r>
      <w:bookmarkEnd w:id="83"/>
      <w:bookmarkEnd w:id="84"/>
    </w:p>
    <w:p w14:paraId="43F1C60E">
      <w:pPr>
        <w:pStyle w:val="5"/>
        <w:spacing w:before="0" w:line="300" w:lineRule="auto"/>
        <w:ind w:left="0" w:firstLine="480" w:firstLineChars="200"/>
        <w:contextualSpacing/>
        <w:jc w:val="both"/>
        <w:rPr>
          <w:rFonts w:hint="eastAsia"/>
          <w:sz w:val="24"/>
          <w:szCs w:val="24"/>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2"/>
        <w:gridCol w:w="1862"/>
        <w:gridCol w:w="2188"/>
        <w:gridCol w:w="3452"/>
      </w:tblGrid>
      <w:tr w14:paraId="4423C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Align w:val="center"/>
          </w:tcPr>
          <w:p w14:paraId="2D47F229">
            <w:pPr>
              <w:pStyle w:val="17"/>
              <w:spacing w:before="0" w:line="300" w:lineRule="auto"/>
              <w:contextualSpacing/>
              <w:rPr>
                <w:rFonts w:hint="eastAsia"/>
                <w:b/>
                <w:bCs/>
                <w:sz w:val="21"/>
                <w:szCs w:val="21"/>
              </w:rPr>
            </w:pPr>
            <w:r>
              <w:rPr>
                <w:b/>
                <w:bCs/>
                <w:spacing w:val="-6"/>
                <w:sz w:val="21"/>
                <w:szCs w:val="21"/>
              </w:rPr>
              <w:t>大类</w:t>
            </w:r>
          </w:p>
        </w:tc>
        <w:tc>
          <w:tcPr>
            <w:tcW w:w="1862" w:type="dxa"/>
            <w:vAlign w:val="center"/>
          </w:tcPr>
          <w:p w14:paraId="3C21D806">
            <w:pPr>
              <w:pStyle w:val="17"/>
              <w:spacing w:before="0" w:line="300" w:lineRule="auto"/>
              <w:contextualSpacing/>
              <w:rPr>
                <w:rFonts w:hint="eastAsia"/>
                <w:b/>
                <w:bCs/>
                <w:sz w:val="21"/>
                <w:szCs w:val="21"/>
              </w:rPr>
            </w:pPr>
            <w:r>
              <w:rPr>
                <w:b/>
                <w:bCs/>
                <w:spacing w:val="-6"/>
                <w:sz w:val="21"/>
                <w:szCs w:val="21"/>
              </w:rPr>
              <w:t>中类</w:t>
            </w:r>
          </w:p>
        </w:tc>
        <w:tc>
          <w:tcPr>
            <w:tcW w:w="2188" w:type="dxa"/>
            <w:vAlign w:val="center"/>
          </w:tcPr>
          <w:p w14:paraId="796942CE">
            <w:pPr>
              <w:pStyle w:val="17"/>
              <w:spacing w:before="0" w:line="300" w:lineRule="auto"/>
              <w:contextualSpacing/>
              <w:rPr>
                <w:rFonts w:hint="eastAsia"/>
                <w:b/>
                <w:bCs/>
                <w:sz w:val="21"/>
                <w:szCs w:val="21"/>
              </w:rPr>
            </w:pPr>
            <w:r>
              <w:rPr>
                <w:b/>
                <w:bCs/>
                <w:spacing w:val="-6"/>
                <w:sz w:val="21"/>
                <w:szCs w:val="21"/>
              </w:rPr>
              <w:t>小类</w:t>
            </w:r>
          </w:p>
        </w:tc>
        <w:tc>
          <w:tcPr>
            <w:tcW w:w="3452" w:type="dxa"/>
            <w:vAlign w:val="center"/>
          </w:tcPr>
          <w:p w14:paraId="5634D6DD">
            <w:pPr>
              <w:pStyle w:val="17"/>
              <w:spacing w:before="0" w:line="300" w:lineRule="auto"/>
              <w:contextualSpacing/>
              <w:rPr>
                <w:rFonts w:hint="eastAsia"/>
                <w:b/>
                <w:bCs/>
                <w:sz w:val="21"/>
                <w:szCs w:val="21"/>
              </w:rPr>
            </w:pPr>
            <w:r>
              <w:rPr>
                <w:b/>
                <w:bCs/>
                <w:spacing w:val="-6"/>
                <w:sz w:val="21"/>
                <w:szCs w:val="21"/>
              </w:rPr>
              <w:t>内容</w:t>
            </w:r>
          </w:p>
        </w:tc>
      </w:tr>
      <w:tr w14:paraId="3A7B0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Merge w:val="restart"/>
            <w:vAlign w:val="center"/>
          </w:tcPr>
          <w:p w14:paraId="2C1118A4">
            <w:pPr>
              <w:pStyle w:val="17"/>
              <w:spacing w:before="0" w:line="300" w:lineRule="auto"/>
              <w:ind w:left="0"/>
              <w:contextualSpacing/>
              <w:rPr>
                <w:rFonts w:hint="eastAsia"/>
                <w:spacing w:val="-2"/>
                <w:sz w:val="21"/>
                <w:szCs w:val="21"/>
              </w:rPr>
            </w:pPr>
            <w:r>
              <w:rPr>
                <w:spacing w:val="-2"/>
                <w:sz w:val="21"/>
                <w:szCs w:val="21"/>
              </w:rPr>
              <w:t>02</w:t>
            </w:r>
          </w:p>
          <w:p w14:paraId="26EB06B3">
            <w:pPr>
              <w:pStyle w:val="17"/>
              <w:spacing w:before="0" w:line="300" w:lineRule="auto"/>
              <w:ind w:left="0"/>
              <w:contextualSpacing/>
              <w:rPr>
                <w:rFonts w:hint="eastAsia"/>
                <w:sz w:val="21"/>
                <w:szCs w:val="21"/>
              </w:rPr>
            </w:pPr>
            <w:r>
              <w:rPr>
                <w:spacing w:val="-4"/>
                <w:sz w:val="21"/>
                <w:szCs w:val="21"/>
              </w:rPr>
              <w:t>流通性服务</w:t>
            </w:r>
          </w:p>
        </w:tc>
        <w:tc>
          <w:tcPr>
            <w:tcW w:w="1862" w:type="dxa"/>
            <w:vMerge w:val="restart"/>
            <w:vAlign w:val="center"/>
          </w:tcPr>
          <w:p w14:paraId="216CC092">
            <w:pPr>
              <w:pStyle w:val="17"/>
              <w:spacing w:before="0" w:line="300" w:lineRule="auto"/>
              <w:ind w:left="0"/>
              <w:contextualSpacing/>
              <w:rPr>
                <w:rFonts w:hint="eastAsia"/>
                <w:spacing w:val="-2"/>
                <w:sz w:val="21"/>
                <w:szCs w:val="21"/>
              </w:rPr>
            </w:pPr>
            <w:r>
              <w:rPr>
                <w:spacing w:val="-2"/>
                <w:sz w:val="21"/>
                <w:szCs w:val="21"/>
              </w:rPr>
              <w:t>02.0</w:t>
            </w:r>
            <w:r>
              <w:rPr>
                <w:rFonts w:hint="eastAsia"/>
                <w:spacing w:val="-2"/>
                <w:sz w:val="21"/>
                <w:szCs w:val="21"/>
              </w:rPr>
              <w:t>1</w:t>
            </w:r>
          </w:p>
          <w:p w14:paraId="642455B6">
            <w:pPr>
              <w:pStyle w:val="17"/>
              <w:spacing w:before="0" w:line="300" w:lineRule="auto"/>
              <w:ind w:left="0"/>
              <w:contextualSpacing/>
              <w:rPr>
                <w:rFonts w:hint="eastAsia"/>
                <w:sz w:val="21"/>
                <w:szCs w:val="21"/>
              </w:rPr>
            </w:pPr>
            <w:r>
              <w:rPr>
                <w:spacing w:val="-4"/>
                <w:sz w:val="21"/>
                <w:szCs w:val="21"/>
              </w:rPr>
              <w:t>批发和零售服务</w:t>
            </w:r>
          </w:p>
        </w:tc>
        <w:tc>
          <w:tcPr>
            <w:tcW w:w="2188" w:type="dxa"/>
            <w:vMerge w:val="restart"/>
            <w:vAlign w:val="center"/>
          </w:tcPr>
          <w:p w14:paraId="60F91B8E">
            <w:pPr>
              <w:pStyle w:val="17"/>
              <w:spacing w:before="0" w:line="300" w:lineRule="auto"/>
              <w:contextualSpacing/>
              <w:rPr>
                <w:rFonts w:hint="eastAsia"/>
                <w:sz w:val="21"/>
                <w:szCs w:val="21"/>
              </w:rPr>
            </w:pPr>
            <w:r>
              <w:rPr>
                <w:spacing w:val="-2"/>
                <w:sz w:val="21"/>
                <w:szCs w:val="21"/>
              </w:rPr>
              <w:t>02.0</w:t>
            </w:r>
            <w:r>
              <w:rPr>
                <w:rFonts w:hint="eastAsia"/>
                <w:spacing w:val="-2"/>
                <w:sz w:val="21"/>
                <w:szCs w:val="21"/>
              </w:rPr>
              <w:t>2</w:t>
            </w:r>
            <w:r>
              <w:rPr>
                <w:spacing w:val="-2"/>
                <w:sz w:val="21"/>
                <w:szCs w:val="21"/>
              </w:rPr>
              <w:t>.01</w:t>
            </w:r>
          </w:p>
        </w:tc>
        <w:tc>
          <w:tcPr>
            <w:tcW w:w="3452" w:type="dxa"/>
            <w:vAlign w:val="center"/>
          </w:tcPr>
          <w:p w14:paraId="4FA2FAC4">
            <w:pPr>
              <w:pStyle w:val="17"/>
              <w:spacing w:before="0" w:line="300" w:lineRule="auto"/>
              <w:contextualSpacing/>
              <w:rPr>
                <w:rFonts w:hint="eastAsia"/>
                <w:sz w:val="21"/>
                <w:szCs w:val="21"/>
              </w:rPr>
            </w:pPr>
            <w:r>
              <w:rPr>
                <w:spacing w:val="-4"/>
                <w:sz w:val="21"/>
                <w:szCs w:val="21"/>
              </w:rPr>
              <w:t>商品售后服务</w:t>
            </w:r>
          </w:p>
        </w:tc>
      </w:tr>
      <w:tr w14:paraId="73E5A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Merge w:val="continue"/>
            <w:tcBorders>
              <w:top w:val="nil"/>
            </w:tcBorders>
            <w:vAlign w:val="center"/>
          </w:tcPr>
          <w:p w14:paraId="1C8BE05F">
            <w:pPr>
              <w:ind w:firstLine="420" w:firstLineChars="200"/>
              <w:contextualSpacing/>
              <w:jc w:val="center"/>
              <w:rPr>
                <w:rFonts w:hint="eastAsia"/>
                <w:sz w:val="21"/>
                <w:szCs w:val="21"/>
              </w:rPr>
            </w:pPr>
          </w:p>
        </w:tc>
        <w:tc>
          <w:tcPr>
            <w:tcW w:w="1862" w:type="dxa"/>
            <w:vMerge w:val="continue"/>
            <w:tcBorders>
              <w:top w:val="nil"/>
            </w:tcBorders>
            <w:vAlign w:val="center"/>
          </w:tcPr>
          <w:p w14:paraId="3D2B51B6">
            <w:pPr>
              <w:ind w:firstLine="420" w:firstLineChars="200"/>
              <w:contextualSpacing/>
              <w:jc w:val="center"/>
              <w:rPr>
                <w:rFonts w:hint="eastAsia"/>
                <w:sz w:val="21"/>
                <w:szCs w:val="21"/>
              </w:rPr>
            </w:pPr>
          </w:p>
        </w:tc>
        <w:tc>
          <w:tcPr>
            <w:tcW w:w="2188" w:type="dxa"/>
            <w:vMerge w:val="continue"/>
            <w:vAlign w:val="center"/>
          </w:tcPr>
          <w:p w14:paraId="41EA8B9C">
            <w:pPr>
              <w:pStyle w:val="17"/>
              <w:spacing w:before="0"/>
              <w:contextualSpacing/>
              <w:rPr>
                <w:rFonts w:hint="eastAsia"/>
                <w:sz w:val="21"/>
                <w:szCs w:val="21"/>
              </w:rPr>
            </w:pPr>
          </w:p>
        </w:tc>
        <w:tc>
          <w:tcPr>
            <w:tcW w:w="3452" w:type="dxa"/>
            <w:vAlign w:val="center"/>
          </w:tcPr>
          <w:p w14:paraId="5DFAA701">
            <w:pPr>
              <w:pStyle w:val="17"/>
              <w:spacing w:before="0"/>
              <w:contextualSpacing/>
              <w:rPr>
                <w:rFonts w:hint="eastAsia"/>
                <w:sz w:val="21"/>
                <w:szCs w:val="21"/>
              </w:rPr>
            </w:pPr>
            <w:r>
              <w:rPr>
                <w:spacing w:val="-4"/>
                <w:sz w:val="21"/>
                <w:szCs w:val="21"/>
              </w:rPr>
              <w:t>批发和零售服务</w:t>
            </w:r>
          </w:p>
        </w:tc>
      </w:tr>
      <w:tr w14:paraId="1AABD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Merge w:val="continue"/>
            <w:tcBorders>
              <w:top w:val="nil"/>
            </w:tcBorders>
            <w:vAlign w:val="center"/>
          </w:tcPr>
          <w:p w14:paraId="4C72C0BC">
            <w:pPr>
              <w:ind w:firstLine="420" w:firstLineChars="200"/>
              <w:contextualSpacing/>
              <w:jc w:val="center"/>
              <w:rPr>
                <w:rFonts w:hint="eastAsia"/>
                <w:sz w:val="21"/>
                <w:szCs w:val="21"/>
              </w:rPr>
            </w:pPr>
          </w:p>
        </w:tc>
        <w:tc>
          <w:tcPr>
            <w:tcW w:w="1862" w:type="dxa"/>
            <w:vMerge w:val="continue"/>
            <w:tcBorders>
              <w:top w:val="nil"/>
            </w:tcBorders>
            <w:vAlign w:val="center"/>
          </w:tcPr>
          <w:p w14:paraId="6958D139">
            <w:pPr>
              <w:ind w:firstLine="420" w:firstLineChars="200"/>
              <w:contextualSpacing/>
              <w:jc w:val="center"/>
              <w:rPr>
                <w:rFonts w:hint="eastAsia"/>
                <w:sz w:val="21"/>
                <w:szCs w:val="21"/>
              </w:rPr>
            </w:pPr>
          </w:p>
        </w:tc>
        <w:tc>
          <w:tcPr>
            <w:tcW w:w="2188" w:type="dxa"/>
            <w:vMerge w:val="continue"/>
            <w:vAlign w:val="center"/>
          </w:tcPr>
          <w:p w14:paraId="0F5F6B40">
            <w:pPr>
              <w:pStyle w:val="17"/>
              <w:spacing w:before="0"/>
              <w:contextualSpacing/>
              <w:rPr>
                <w:rFonts w:hint="eastAsia"/>
                <w:sz w:val="21"/>
                <w:szCs w:val="21"/>
              </w:rPr>
            </w:pPr>
          </w:p>
        </w:tc>
        <w:tc>
          <w:tcPr>
            <w:tcW w:w="3452" w:type="dxa"/>
            <w:vAlign w:val="center"/>
          </w:tcPr>
          <w:p w14:paraId="5AA22D2C">
            <w:pPr>
              <w:pStyle w:val="17"/>
              <w:spacing w:before="0"/>
              <w:contextualSpacing/>
              <w:rPr>
                <w:rFonts w:hint="eastAsia"/>
                <w:sz w:val="21"/>
                <w:szCs w:val="21"/>
              </w:rPr>
            </w:pPr>
            <w:r>
              <w:rPr>
                <w:spacing w:val="-4"/>
                <w:sz w:val="21"/>
                <w:szCs w:val="21"/>
              </w:rPr>
              <w:t>销售代理</w:t>
            </w:r>
          </w:p>
        </w:tc>
      </w:tr>
      <w:tr w14:paraId="4AEFA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Merge w:val="continue"/>
            <w:tcBorders>
              <w:top w:val="nil"/>
            </w:tcBorders>
            <w:vAlign w:val="center"/>
          </w:tcPr>
          <w:p w14:paraId="4C62A8E2">
            <w:pPr>
              <w:ind w:firstLine="420" w:firstLineChars="200"/>
              <w:contextualSpacing/>
              <w:jc w:val="center"/>
              <w:rPr>
                <w:rFonts w:hint="eastAsia"/>
                <w:sz w:val="21"/>
                <w:szCs w:val="21"/>
              </w:rPr>
            </w:pPr>
          </w:p>
        </w:tc>
        <w:tc>
          <w:tcPr>
            <w:tcW w:w="1862" w:type="dxa"/>
            <w:vMerge w:val="continue"/>
            <w:tcBorders>
              <w:top w:val="nil"/>
            </w:tcBorders>
            <w:vAlign w:val="center"/>
          </w:tcPr>
          <w:p w14:paraId="7FF5C58E">
            <w:pPr>
              <w:ind w:firstLine="420" w:firstLineChars="200"/>
              <w:contextualSpacing/>
              <w:jc w:val="center"/>
              <w:rPr>
                <w:rFonts w:hint="eastAsia"/>
                <w:sz w:val="21"/>
                <w:szCs w:val="21"/>
              </w:rPr>
            </w:pPr>
          </w:p>
        </w:tc>
        <w:tc>
          <w:tcPr>
            <w:tcW w:w="2188" w:type="dxa"/>
            <w:vMerge w:val="continue"/>
            <w:vAlign w:val="center"/>
          </w:tcPr>
          <w:p w14:paraId="12A8E887">
            <w:pPr>
              <w:pStyle w:val="17"/>
              <w:spacing w:before="0"/>
              <w:contextualSpacing/>
              <w:rPr>
                <w:rFonts w:hint="eastAsia"/>
                <w:sz w:val="21"/>
                <w:szCs w:val="21"/>
              </w:rPr>
            </w:pPr>
          </w:p>
        </w:tc>
        <w:tc>
          <w:tcPr>
            <w:tcW w:w="3452" w:type="dxa"/>
            <w:vAlign w:val="center"/>
          </w:tcPr>
          <w:p w14:paraId="74ED33F8">
            <w:pPr>
              <w:pStyle w:val="17"/>
              <w:spacing w:before="0"/>
              <w:contextualSpacing/>
              <w:rPr>
                <w:rFonts w:hint="eastAsia"/>
                <w:sz w:val="21"/>
                <w:szCs w:val="21"/>
              </w:rPr>
            </w:pPr>
            <w:r>
              <w:rPr>
                <w:spacing w:val="-4"/>
                <w:sz w:val="21"/>
                <w:szCs w:val="21"/>
              </w:rPr>
              <w:t>汽车销售</w:t>
            </w:r>
          </w:p>
        </w:tc>
      </w:tr>
      <w:tr w14:paraId="49A0E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862" w:type="dxa"/>
            <w:vMerge w:val="continue"/>
            <w:tcBorders>
              <w:top w:val="nil"/>
            </w:tcBorders>
            <w:vAlign w:val="center"/>
          </w:tcPr>
          <w:p w14:paraId="66357C04">
            <w:pPr>
              <w:ind w:firstLine="420" w:firstLineChars="200"/>
              <w:contextualSpacing/>
              <w:jc w:val="center"/>
              <w:rPr>
                <w:rFonts w:hint="eastAsia"/>
                <w:sz w:val="21"/>
                <w:szCs w:val="21"/>
              </w:rPr>
            </w:pPr>
          </w:p>
        </w:tc>
        <w:tc>
          <w:tcPr>
            <w:tcW w:w="1862" w:type="dxa"/>
            <w:vMerge w:val="continue"/>
            <w:tcBorders>
              <w:top w:val="nil"/>
            </w:tcBorders>
            <w:vAlign w:val="center"/>
          </w:tcPr>
          <w:p w14:paraId="2CE38D4E">
            <w:pPr>
              <w:ind w:firstLine="420" w:firstLineChars="200"/>
              <w:contextualSpacing/>
              <w:jc w:val="center"/>
              <w:rPr>
                <w:rFonts w:hint="eastAsia"/>
                <w:sz w:val="21"/>
                <w:szCs w:val="21"/>
              </w:rPr>
            </w:pPr>
          </w:p>
        </w:tc>
        <w:tc>
          <w:tcPr>
            <w:tcW w:w="2188" w:type="dxa"/>
            <w:vMerge w:val="continue"/>
            <w:vAlign w:val="center"/>
          </w:tcPr>
          <w:p w14:paraId="30B0B9BC">
            <w:pPr>
              <w:pStyle w:val="17"/>
              <w:spacing w:before="0"/>
              <w:contextualSpacing/>
              <w:rPr>
                <w:rFonts w:hint="eastAsia"/>
                <w:sz w:val="21"/>
                <w:szCs w:val="21"/>
              </w:rPr>
            </w:pPr>
          </w:p>
        </w:tc>
        <w:tc>
          <w:tcPr>
            <w:tcW w:w="3452" w:type="dxa"/>
            <w:vAlign w:val="center"/>
          </w:tcPr>
          <w:p w14:paraId="06D23752">
            <w:pPr>
              <w:pStyle w:val="17"/>
              <w:spacing w:before="0"/>
              <w:contextualSpacing/>
              <w:rPr>
                <w:rFonts w:hint="eastAsia"/>
                <w:sz w:val="21"/>
                <w:szCs w:val="21"/>
              </w:rPr>
            </w:pPr>
            <w:r>
              <w:rPr>
                <w:spacing w:val="-4"/>
                <w:sz w:val="21"/>
                <w:szCs w:val="21"/>
              </w:rPr>
              <w:t>绿色市场</w:t>
            </w:r>
          </w:p>
        </w:tc>
      </w:tr>
    </w:tbl>
    <w:p w14:paraId="3CA3B9EE">
      <w:pPr>
        <w:pStyle w:val="17"/>
        <w:spacing w:before="0"/>
        <w:ind w:left="0" w:firstLine="420" w:firstLineChars="200"/>
        <w:contextualSpacing/>
        <w:jc w:val="both"/>
        <w:rPr>
          <w:rFonts w:hint="eastAsia"/>
          <w:sz w:val="21"/>
          <w:szCs w:val="21"/>
        </w:rPr>
      </w:pPr>
    </w:p>
    <w:p w14:paraId="0C853FE4">
      <w:pPr>
        <w:pStyle w:val="17"/>
        <w:spacing w:before="0"/>
        <w:ind w:left="0" w:firstLine="420" w:firstLineChars="200"/>
        <w:contextualSpacing/>
        <w:jc w:val="both"/>
        <w:rPr>
          <w:rFonts w:hint="eastAsia"/>
          <w:sz w:val="21"/>
          <w:szCs w:val="21"/>
        </w:rPr>
      </w:pPr>
    </w:p>
    <w:p w14:paraId="1E7E7146">
      <w:pPr>
        <w:pStyle w:val="17"/>
        <w:spacing w:before="0"/>
        <w:ind w:left="0" w:firstLine="420" w:firstLineChars="200"/>
        <w:contextualSpacing/>
        <w:jc w:val="both"/>
        <w:rPr>
          <w:rFonts w:hint="eastAsia"/>
          <w:sz w:val="21"/>
          <w:szCs w:val="21"/>
        </w:rPr>
      </w:pPr>
    </w:p>
    <w:p w14:paraId="5E96C248">
      <w:pPr>
        <w:pStyle w:val="17"/>
        <w:spacing w:before="0"/>
        <w:ind w:left="0" w:firstLine="420" w:firstLineChars="200"/>
        <w:contextualSpacing/>
        <w:jc w:val="both"/>
        <w:rPr>
          <w:rFonts w:hint="eastAsia"/>
          <w:sz w:val="21"/>
          <w:szCs w:val="21"/>
        </w:rPr>
      </w:pPr>
    </w:p>
    <w:p w14:paraId="092CE3CA">
      <w:pPr>
        <w:pStyle w:val="17"/>
        <w:spacing w:before="0"/>
        <w:ind w:left="0" w:firstLine="420" w:firstLineChars="200"/>
        <w:contextualSpacing/>
        <w:jc w:val="both"/>
        <w:rPr>
          <w:rFonts w:hint="eastAsia"/>
          <w:sz w:val="21"/>
          <w:szCs w:val="21"/>
        </w:rPr>
      </w:pPr>
    </w:p>
    <w:p w14:paraId="646C6F92">
      <w:pPr>
        <w:pStyle w:val="17"/>
        <w:spacing w:before="0"/>
        <w:ind w:left="0" w:firstLine="420" w:firstLineChars="200"/>
        <w:contextualSpacing/>
        <w:jc w:val="both"/>
        <w:rPr>
          <w:rFonts w:hint="eastAsia"/>
          <w:sz w:val="21"/>
          <w:szCs w:val="21"/>
        </w:rPr>
      </w:pPr>
    </w:p>
    <w:p w14:paraId="4A127602">
      <w:pPr>
        <w:pStyle w:val="17"/>
        <w:spacing w:before="0"/>
        <w:ind w:left="0" w:firstLine="420" w:firstLineChars="200"/>
        <w:contextualSpacing/>
        <w:jc w:val="both"/>
        <w:rPr>
          <w:rFonts w:hint="eastAsia"/>
          <w:sz w:val="21"/>
          <w:szCs w:val="21"/>
        </w:rPr>
      </w:pPr>
    </w:p>
    <w:p w14:paraId="77F4BFD7">
      <w:pPr>
        <w:pStyle w:val="17"/>
        <w:spacing w:before="0"/>
        <w:ind w:left="0" w:firstLine="420" w:firstLineChars="200"/>
        <w:contextualSpacing/>
        <w:jc w:val="both"/>
        <w:rPr>
          <w:rFonts w:hint="eastAsia"/>
          <w:sz w:val="21"/>
          <w:szCs w:val="21"/>
        </w:rPr>
      </w:pPr>
    </w:p>
    <w:p w14:paraId="7BD87D29">
      <w:pPr>
        <w:pStyle w:val="17"/>
        <w:spacing w:before="0"/>
        <w:ind w:left="0" w:firstLine="420" w:firstLineChars="200"/>
        <w:contextualSpacing/>
        <w:jc w:val="both"/>
        <w:rPr>
          <w:rFonts w:hint="eastAsia"/>
          <w:sz w:val="21"/>
          <w:szCs w:val="21"/>
        </w:rPr>
      </w:pPr>
    </w:p>
    <w:p w14:paraId="7A0A0EDD">
      <w:pPr>
        <w:pStyle w:val="17"/>
        <w:spacing w:before="0"/>
        <w:ind w:left="0" w:firstLine="420" w:firstLineChars="200"/>
        <w:contextualSpacing/>
        <w:jc w:val="both"/>
        <w:rPr>
          <w:rFonts w:hint="eastAsia"/>
          <w:sz w:val="21"/>
          <w:szCs w:val="21"/>
        </w:rPr>
      </w:pPr>
    </w:p>
    <w:p w14:paraId="02B1E0C2">
      <w:pPr>
        <w:pStyle w:val="17"/>
        <w:spacing w:before="0"/>
        <w:ind w:left="0" w:firstLine="420" w:firstLineChars="200"/>
        <w:contextualSpacing/>
        <w:jc w:val="both"/>
        <w:rPr>
          <w:rFonts w:hint="eastAsia"/>
          <w:sz w:val="21"/>
          <w:szCs w:val="21"/>
        </w:rPr>
      </w:pPr>
    </w:p>
    <w:p w14:paraId="579F3B16">
      <w:pPr>
        <w:pStyle w:val="17"/>
        <w:spacing w:before="0"/>
        <w:ind w:left="0" w:firstLine="420" w:firstLineChars="200"/>
        <w:contextualSpacing/>
        <w:jc w:val="both"/>
        <w:rPr>
          <w:rFonts w:hint="eastAsia"/>
          <w:sz w:val="21"/>
          <w:szCs w:val="21"/>
        </w:rPr>
      </w:pPr>
    </w:p>
    <w:p w14:paraId="6E419736">
      <w:pPr>
        <w:pStyle w:val="17"/>
        <w:spacing w:before="0"/>
        <w:ind w:left="0" w:firstLine="420" w:firstLineChars="200"/>
        <w:contextualSpacing/>
        <w:jc w:val="both"/>
        <w:rPr>
          <w:rFonts w:hint="eastAsia"/>
          <w:sz w:val="21"/>
          <w:szCs w:val="21"/>
        </w:rPr>
      </w:pPr>
    </w:p>
    <w:p w14:paraId="7DE5C30D">
      <w:pPr>
        <w:pStyle w:val="17"/>
        <w:spacing w:before="0"/>
        <w:ind w:left="0" w:firstLine="420" w:firstLineChars="200"/>
        <w:contextualSpacing/>
        <w:jc w:val="both"/>
        <w:rPr>
          <w:rFonts w:hint="eastAsia"/>
          <w:sz w:val="21"/>
          <w:szCs w:val="21"/>
        </w:rPr>
      </w:pPr>
    </w:p>
    <w:p w14:paraId="3C2C584B">
      <w:pPr>
        <w:pStyle w:val="17"/>
        <w:spacing w:before="0"/>
        <w:ind w:left="0" w:firstLine="420" w:firstLineChars="200"/>
        <w:contextualSpacing/>
        <w:jc w:val="both"/>
        <w:rPr>
          <w:rFonts w:hint="eastAsia"/>
          <w:sz w:val="21"/>
          <w:szCs w:val="21"/>
        </w:rPr>
      </w:pPr>
    </w:p>
    <w:p w14:paraId="167B4DB8">
      <w:pPr>
        <w:pStyle w:val="17"/>
        <w:spacing w:before="0"/>
        <w:ind w:left="0" w:firstLine="420" w:firstLineChars="200"/>
        <w:contextualSpacing/>
        <w:jc w:val="both"/>
        <w:rPr>
          <w:rFonts w:hint="eastAsia"/>
          <w:sz w:val="21"/>
          <w:szCs w:val="21"/>
        </w:rPr>
      </w:pPr>
    </w:p>
    <w:p w14:paraId="4E9D87A7">
      <w:pPr>
        <w:pStyle w:val="17"/>
        <w:spacing w:before="0"/>
        <w:ind w:left="0" w:firstLine="420" w:firstLineChars="200"/>
        <w:contextualSpacing/>
        <w:jc w:val="both"/>
        <w:rPr>
          <w:rFonts w:hint="eastAsia"/>
          <w:sz w:val="21"/>
          <w:szCs w:val="21"/>
        </w:rPr>
      </w:pPr>
    </w:p>
    <w:p w14:paraId="20B94B3A">
      <w:pPr>
        <w:pStyle w:val="17"/>
        <w:spacing w:before="0"/>
        <w:ind w:left="0" w:firstLine="420" w:firstLineChars="200"/>
        <w:contextualSpacing/>
        <w:jc w:val="both"/>
        <w:rPr>
          <w:rFonts w:hint="eastAsia"/>
          <w:sz w:val="21"/>
          <w:szCs w:val="21"/>
        </w:rPr>
      </w:pPr>
    </w:p>
    <w:p w14:paraId="0CE52DB4">
      <w:pPr>
        <w:pStyle w:val="17"/>
        <w:spacing w:before="0"/>
        <w:ind w:left="0" w:firstLine="420" w:firstLineChars="200"/>
        <w:contextualSpacing/>
        <w:jc w:val="both"/>
        <w:rPr>
          <w:rFonts w:hint="eastAsia"/>
          <w:sz w:val="21"/>
          <w:szCs w:val="21"/>
        </w:rPr>
      </w:pPr>
    </w:p>
    <w:p w14:paraId="5BF8E218">
      <w:pPr>
        <w:pStyle w:val="17"/>
        <w:spacing w:before="0"/>
        <w:ind w:left="0" w:firstLine="420" w:firstLineChars="200"/>
        <w:contextualSpacing/>
        <w:jc w:val="both"/>
        <w:rPr>
          <w:rFonts w:hint="eastAsia"/>
          <w:sz w:val="21"/>
          <w:szCs w:val="21"/>
        </w:rPr>
      </w:pPr>
    </w:p>
    <w:p w14:paraId="01E0659F">
      <w:pPr>
        <w:pStyle w:val="17"/>
        <w:spacing w:before="0"/>
        <w:ind w:left="0" w:firstLine="420" w:firstLineChars="200"/>
        <w:contextualSpacing/>
        <w:jc w:val="both"/>
        <w:rPr>
          <w:rFonts w:hint="eastAsia"/>
          <w:sz w:val="21"/>
          <w:szCs w:val="21"/>
        </w:rPr>
      </w:pPr>
    </w:p>
    <w:p w14:paraId="05BEE419">
      <w:pPr>
        <w:pStyle w:val="17"/>
        <w:spacing w:before="0"/>
        <w:ind w:left="0" w:firstLine="420" w:firstLineChars="200"/>
        <w:contextualSpacing/>
        <w:jc w:val="both"/>
        <w:rPr>
          <w:rFonts w:hint="eastAsia"/>
          <w:sz w:val="21"/>
          <w:szCs w:val="21"/>
        </w:rPr>
      </w:pPr>
    </w:p>
    <w:p w14:paraId="6E9DCCBD">
      <w:pPr>
        <w:pStyle w:val="17"/>
        <w:spacing w:before="0"/>
        <w:ind w:left="0" w:firstLine="420" w:firstLineChars="200"/>
        <w:contextualSpacing/>
        <w:jc w:val="both"/>
        <w:rPr>
          <w:rFonts w:hint="eastAsia"/>
          <w:sz w:val="21"/>
          <w:szCs w:val="21"/>
        </w:rPr>
      </w:pPr>
    </w:p>
    <w:p w14:paraId="6F8DB42A">
      <w:pPr>
        <w:pStyle w:val="17"/>
        <w:spacing w:before="0"/>
        <w:ind w:left="0" w:firstLine="420" w:firstLineChars="200"/>
        <w:contextualSpacing/>
        <w:jc w:val="both"/>
        <w:rPr>
          <w:rFonts w:hint="eastAsia"/>
          <w:sz w:val="21"/>
          <w:szCs w:val="21"/>
        </w:rPr>
      </w:pPr>
    </w:p>
    <w:p w14:paraId="1088E6AC">
      <w:pPr>
        <w:pStyle w:val="17"/>
        <w:spacing w:before="0"/>
        <w:ind w:left="0" w:firstLine="420" w:firstLineChars="200"/>
        <w:contextualSpacing/>
        <w:jc w:val="both"/>
        <w:rPr>
          <w:rFonts w:hint="eastAsia"/>
          <w:sz w:val="21"/>
          <w:szCs w:val="21"/>
        </w:rPr>
      </w:pPr>
    </w:p>
    <w:p w14:paraId="637173C8">
      <w:pPr>
        <w:pStyle w:val="17"/>
        <w:spacing w:before="0"/>
        <w:ind w:left="0" w:firstLine="420" w:firstLineChars="200"/>
        <w:contextualSpacing/>
        <w:jc w:val="both"/>
        <w:rPr>
          <w:rFonts w:hint="eastAsia"/>
          <w:sz w:val="21"/>
          <w:szCs w:val="21"/>
        </w:rPr>
      </w:pPr>
    </w:p>
    <w:p w14:paraId="33EA1985">
      <w:pPr>
        <w:pStyle w:val="17"/>
        <w:spacing w:before="0"/>
        <w:ind w:left="0" w:firstLine="420" w:firstLineChars="200"/>
        <w:contextualSpacing/>
        <w:jc w:val="both"/>
        <w:rPr>
          <w:rFonts w:hint="eastAsia"/>
          <w:sz w:val="21"/>
          <w:szCs w:val="21"/>
        </w:rPr>
      </w:pPr>
    </w:p>
    <w:p w14:paraId="6BB5FF54">
      <w:pPr>
        <w:pStyle w:val="17"/>
        <w:spacing w:before="0"/>
        <w:ind w:left="0" w:firstLine="420" w:firstLineChars="200"/>
        <w:contextualSpacing/>
        <w:jc w:val="both"/>
        <w:rPr>
          <w:rFonts w:hint="eastAsia"/>
          <w:sz w:val="21"/>
          <w:szCs w:val="21"/>
        </w:rPr>
      </w:pPr>
    </w:p>
    <w:p w14:paraId="196E1F92">
      <w:pPr>
        <w:pStyle w:val="17"/>
        <w:spacing w:before="0"/>
        <w:ind w:left="0" w:firstLine="420" w:firstLineChars="200"/>
        <w:contextualSpacing/>
        <w:jc w:val="both"/>
        <w:rPr>
          <w:rFonts w:hint="eastAsia"/>
          <w:sz w:val="21"/>
          <w:szCs w:val="21"/>
        </w:rPr>
      </w:pPr>
    </w:p>
    <w:p w14:paraId="5C0514C2">
      <w:pPr>
        <w:pStyle w:val="17"/>
        <w:spacing w:before="0"/>
        <w:ind w:left="0" w:firstLine="420" w:firstLineChars="200"/>
        <w:contextualSpacing/>
        <w:jc w:val="both"/>
        <w:rPr>
          <w:rFonts w:hint="eastAsia"/>
          <w:sz w:val="21"/>
          <w:szCs w:val="21"/>
        </w:rPr>
      </w:pPr>
    </w:p>
    <w:p w14:paraId="2DB6DFD1">
      <w:pPr>
        <w:pStyle w:val="17"/>
        <w:spacing w:before="0"/>
        <w:ind w:left="0" w:firstLine="420" w:firstLineChars="200"/>
        <w:contextualSpacing/>
        <w:jc w:val="both"/>
        <w:rPr>
          <w:rFonts w:hint="eastAsia"/>
          <w:sz w:val="21"/>
          <w:szCs w:val="21"/>
        </w:rPr>
      </w:pPr>
    </w:p>
    <w:p w14:paraId="1F004FF7">
      <w:pPr>
        <w:pStyle w:val="17"/>
        <w:spacing w:before="0"/>
        <w:ind w:left="0" w:firstLine="420" w:firstLineChars="200"/>
        <w:contextualSpacing/>
        <w:jc w:val="both"/>
        <w:rPr>
          <w:rFonts w:hint="eastAsia"/>
          <w:sz w:val="21"/>
          <w:szCs w:val="21"/>
        </w:rPr>
      </w:pPr>
    </w:p>
    <w:p w14:paraId="7A246124">
      <w:pPr>
        <w:pStyle w:val="17"/>
        <w:spacing w:before="0"/>
        <w:ind w:left="0" w:firstLine="420" w:firstLineChars="200"/>
        <w:contextualSpacing/>
        <w:jc w:val="both"/>
        <w:rPr>
          <w:rFonts w:hint="eastAsia"/>
          <w:sz w:val="21"/>
          <w:szCs w:val="21"/>
        </w:rPr>
      </w:pPr>
    </w:p>
    <w:p w14:paraId="23F114E9">
      <w:pPr>
        <w:pStyle w:val="17"/>
        <w:spacing w:before="0"/>
        <w:ind w:left="0" w:firstLine="420" w:firstLineChars="200"/>
        <w:contextualSpacing/>
        <w:jc w:val="both"/>
        <w:rPr>
          <w:rFonts w:hint="eastAsia"/>
          <w:sz w:val="21"/>
          <w:szCs w:val="21"/>
        </w:rPr>
      </w:pPr>
    </w:p>
    <w:p w14:paraId="70CDB0C8">
      <w:pPr>
        <w:pStyle w:val="17"/>
        <w:spacing w:before="0"/>
        <w:ind w:left="0" w:firstLine="420" w:firstLineChars="200"/>
        <w:contextualSpacing/>
        <w:jc w:val="both"/>
        <w:rPr>
          <w:rFonts w:hint="eastAsia"/>
          <w:sz w:val="21"/>
          <w:szCs w:val="21"/>
        </w:rPr>
      </w:pPr>
    </w:p>
    <w:p w14:paraId="2BACA632">
      <w:pPr>
        <w:pStyle w:val="17"/>
        <w:spacing w:before="0"/>
        <w:ind w:left="0" w:firstLine="420" w:firstLineChars="200"/>
        <w:contextualSpacing/>
        <w:jc w:val="both"/>
        <w:rPr>
          <w:rFonts w:hint="eastAsia"/>
          <w:sz w:val="21"/>
          <w:szCs w:val="21"/>
        </w:rPr>
      </w:pPr>
    </w:p>
    <w:p w14:paraId="2F65B334">
      <w:pPr>
        <w:pStyle w:val="2"/>
        <w:bidi w:val="0"/>
        <w:rPr>
          <w:rFonts w:hint="eastAsia"/>
        </w:rPr>
      </w:pPr>
      <w:bookmarkStart w:id="85" w:name="_Toc21433"/>
      <w:r>
        <w:rPr>
          <w:rFonts w:hint="eastAsia"/>
        </w:rPr>
        <w:t>附件三   服务</w:t>
      </w:r>
      <w:r>
        <w:t>认证证书编号规则</w:t>
      </w:r>
      <w:bookmarkEnd w:id="85"/>
    </w:p>
    <w:p w14:paraId="6B98AD4D">
      <w:pPr>
        <w:ind w:firstLine="420"/>
        <w:rPr>
          <w:rFonts w:hint="eastAsia"/>
        </w:rPr>
      </w:pPr>
      <w:r>
        <w:rPr>
          <w:rFonts w:hint="eastAsia"/>
        </w:rPr>
        <w:t xml:space="preserve">  服务</w:t>
      </w:r>
      <w:r>
        <w:t>认证证书编号由认证机构代码、发证年份号、</w:t>
      </w:r>
      <w:r>
        <w:rPr>
          <w:rFonts w:hint="eastAsia"/>
        </w:rPr>
        <w:t>C</w:t>
      </w:r>
      <w:r>
        <w:t xml:space="preserve"> 简写、顺序号、认证周期、认可机构代码和子证书号构成，格式如下：</w:t>
      </w:r>
    </w:p>
    <w:p w14:paraId="5B3D53E3">
      <w:pPr>
        <w:spacing w:line="54" w:lineRule="exact"/>
        <w:ind w:firstLine="420"/>
        <w:rPr>
          <w:rFonts w:hint="eastAsia"/>
        </w:rPr>
      </w:pPr>
    </w:p>
    <w:tbl>
      <w:tblPr>
        <w:tblStyle w:val="12"/>
        <w:tblW w:w="878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352"/>
      </w:tblGrid>
      <w:tr w14:paraId="3DAB26F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8" w:hRule="atLeast"/>
        </w:trPr>
        <w:tc>
          <w:tcPr>
            <w:tcW w:w="998" w:type="dxa"/>
          </w:tcPr>
          <w:p w14:paraId="5AC8217A">
            <w:pPr>
              <w:spacing w:before="36" w:after="160" w:line="192" w:lineRule="auto"/>
              <w:ind w:left="101"/>
              <w:rPr>
                <w:rFonts w:hint="eastAsia"/>
                <w:snapToGrid w:val="0"/>
                <w:color w:val="000000"/>
                <w:sz w:val="19"/>
                <w:szCs w:val="19"/>
                <w:lang w:eastAsia="en-US"/>
              </w:rPr>
            </w:pPr>
            <w:r>
              <w:rPr>
                <w:snapToGrid w:val="0"/>
                <w:color w:val="000000"/>
                <w:spacing w:val="6"/>
                <w:sz w:val="19"/>
                <w:szCs w:val="19"/>
                <w:lang w:eastAsia="en-US"/>
              </w:rPr>
              <w:t>XXXX</w:t>
            </w:r>
          </w:p>
        </w:tc>
        <w:tc>
          <w:tcPr>
            <w:tcW w:w="1429" w:type="dxa"/>
          </w:tcPr>
          <w:p w14:paraId="4AB92262">
            <w:pPr>
              <w:spacing w:before="36" w:after="160" w:line="192" w:lineRule="auto"/>
              <w:ind w:firstLine="600" w:firstLineChars="300"/>
              <w:rPr>
                <w:rFonts w:hint="eastAsia"/>
                <w:snapToGrid w:val="0"/>
                <w:color w:val="000000"/>
                <w:sz w:val="19"/>
                <w:szCs w:val="19"/>
                <w:lang w:eastAsia="en-US"/>
              </w:rPr>
            </w:pPr>
            <w:r>
              <w:rPr>
                <w:snapToGrid w:val="0"/>
                <w:color w:val="000000"/>
                <w:spacing w:val="5"/>
                <w:sz w:val="19"/>
                <w:szCs w:val="19"/>
                <w:lang w:eastAsia="en-US"/>
              </w:rPr>
              <w:t>XX</w:t>
            </w:r>
          </w:p>
        </w:tc>
        <w:tc>
          <w:tcPr>
            <w:tcW w:w="1345" w:type="dxa"/>
          </w:tcPr>
          <w:p w14:paraId="3B68D402">
            <w:pPr>
              <w:spacing w:before="33" w:after="160" w:line="197" w:lineRule="auto"/>
              <w:ind w:firstLine="389" w:firstLineChars="205"/>
              <w:rPr>
                <w:rFonts w:hint="eastAsia"/>
                <w:snapToGrid w:val="0"/>
                <w:color w:val="000000"/>
                <w:sz w:val="19"/>
                <w:szCs w:val="19"/>
              </w:rPr>
            </w:pPr>
            <w:r>
              <w:rPr>
                <w:rFonts w:hint="eastAsia"/>
                <w:sz w:val="19"/>
                <w:szCs w:val="19"/>
              </w:rPr>
              <w:t>C</w:t>
            </w:r>
          </w:p>
        </w:tc>
        <w:tc>
          <w:tcPr>
            <w:tcW w:w="1176" w:type="dxa"/>
          </w:tcPr>
          <w:p w14:paraId="3F9A125D">
            <w:pPr>
              <w:spacing w:before="36" w:after="160" w:line="192" w:lineRule="auto"/>
              <w:ind w:left="292"/>
              <w:rPr>
                <w:rFonts w:hint="eastAsia"/>
                <w:snapToGrid w:val="0"/>
                <w:color w:val="000000"/>
                <w:sz w:val="19"/>
                <w:szCs w:val="19"/>
                <w:lang w:eastAsia="en-US"/>
              </w:rPr>
            </w:pPr>
            <w:r>
              <w:rPr>
                <w:snapToGrid w:val="0"/>
                <w:color w:val="000000"/>
                <w:spacing w:val="6"/>
                <w:sz w:val="19"/>
                <w:szCs w:val="19"/>
                <w:lang w:eastAsia="en-US"/>
              </w:rPr>
              <w:t>XXXXX</w:t>
            </w:r>
          </w:p>
        </w:tc>
        <w:tc>
          <w:tcPr>
            <w:tcW w:w="1488" w:type="dxa"/>
          </w:tcPr>
          <w:p w14:paraId="14BF581F">
            <w:pPr>
              <w:pStyle w:val="22"/>
              <w:spacing w:line="234" w:lineRule="auto"/>
              <w:rPr>
                <w:rFonts w:hint="eastAsia" w:ascii="宋体" w:hAnsi="宋体" w:eastAsia="宋体"/>
                <w:sz w:val="19"/>
                <w:szCs w:val="19"/>
              </w:rPr>
            </w:pPr>
            <w:r>
              <w:rPr>
                <w:rFonts w:ascii="宋体" w:hAnsi="宋体" w:eastAsia="宋体" w:cs="Times New Roman"/>
                <w:spacing w:val="-34"/>
                <w:w w:val="97"/>
                <w:sz w:val="19"/>
                <w:szCs w:val="19"/>
              </w:rPr>
              <w:t>R0</w:t>
            </w:r>
            <w:r>
              <w:rPr>
                <w:rFonts w:ascii="宋体" w:hAnsi="宋体" w:eastAsia="宋体"/>
                <w:spacing w:val="-34"/>
                <w:w w:val="97"/>
                <w:sz w:val="19"/>
                <w:szCs w:val="19"/>
              </w:rPr>
              <w:t>（</w:t>
            </w:r>
            <w:r>
              <w:rPr>
                <w:rFonts w:ascii="宋体" w:hAnsi="宋体" w:eastAsia="宋体"/>
                <w:spacing w:val="-38"/>
                <w:sz w:val="19"/>
                <w:szCs w:val="19"/>
              </w:rPr>
              <w:t xml:space="preserve"> </w:t>
            </w:r>
            <w:r>
              <w:rPr>
                <w:rFonts w:ascii="宋体" w:hAnsi="宋体" w:eastAsia="宋体" w:cs="Times New Roman"/>
                <w:spacing w:val="-34"/>
                <w:w w:val="97"/>
                <w:sz w:val="19"/>
                <w:szCs w:val="19"/>
              </w:rPr>
              <w:t>1</w:t>
            </w:r>
            <w:r>
              <w:rPr>
                <w:rFonts w:ascii="宋体" w:hAnsi="宋体" w:eastAsia="宋体"/>
                <w:spacing w:val="-34"/>
                <w:w w:val="97"/>
                <w:sz w:val="19"/>
                <w:szCs w:val="19"/>
              </w:rPr>
              <w:t>、</w:t>
            </w:r>
            <w:r>
              <w:rPr>
                <w:rFonts w:ascii="宋体" w:hAnsi="宋体" w:eastAsia="宋体" w:cs="Times New Roman"/>
                <w:spacing w:val="-34"/>
                <w:w w:val="97"/>
                <w:sz w:val="19"/>
                <w:szCs w:val="19"/>
              </w:rPr>
              <w:t>2</w:t>
            </w:r>
            <w:r>
              <w:rPr>
                <w:rFonts w:ascii="宋体" w:hAnsi="宋体" w:eastAsia="宋体"/>
                <w:spacing w:val="-34"/>
                <w:w w:val="97"/>
                <w:sz w:val="19"/>
                <w:szCs w:val="19"/>
              </w:rPr>
              <w:t>、</w:t>
            </w:r>
            <w:r>
              <w:rPr>
                <w:rFonts w:ascii="宋体" w:hAnsi="宋体" w:eastAsia="宋体" w:cs="MS UI Gothic"/>
                <w:spacing w:val="-34"/>
                <w:w w:val="97"/>
                <w:sz w:val="19"/>
                <w:szCs w:val="19"/>
              </w:rPr>
              <w:t>…</w:t>
            </w:r>
            <w:r>
              <w:rPr>
                <w:rFonts w:ascii="宋体" w:hAnsi="宋体" w:eastAsia="宋体" w:cs="MS UI Gothic"/>
                <w:sz w:val="19"/>
                <w:szCs w:val="19"/>
              </w:rPr>
              <w:t xml:space="preserve">  </w:t>
            </w:r>
            <w:r>
              <w:rPr>
                <w:rFonts w:ascii="宋体" w:hAnsi="宋体" w:eastAsia="宋体"/>
                <w:spacing w:val="-34"/>
                <w:w w:val="97"/>
                <w:sz w:val="19"/>
                <w:szCs w:val="19"/>
              </w:rPr>
              <w:t>）</w:t>
            </w:r>
          </w:p>
        </w:tc>
        <w:tc>
          <w:tcPr>
            <w:tcW w:w="2352" w:type="dxa"/>
          </w:tcPr>
          <w:p w14:paraId="0BA46B0A">
            <w:pPr>
              <w:spacing w:before="36" w:after="160" w:line="192" w:lineRule="auto"/>
              <w:ind w:left="481"/>
              <w:rPr>
                <w:rFonts w:hint="eastAsia"/>
                <w:snapToGrid w:val="0"/>
                <w:color w:val="000000"/>
                <w:sz w:val="19"/>
                <w:szCs w:val="19"/>
                <w:lang w:eastAsia="en-US"/>
              </w:rPr>
            </w:pPr>
            <w:r>
              <w:rPr>
                <w:snapToGrid w:val="0"/>
                <w:color w:val="000000"/>
                <w:spacing w:val="-2"/>
                <w:sz w:val="19"/>
                <w:szCs w:val="19"/>
                <w:lang w:eastAsia="en-US"/>
              </w:rPr>
              <w:t>XX</w:t>
            </w:r>
            <w:r>
              <w:rPr>
                <w:snapToGrid w:val="0"/>
                <w:color w:val="000000"/>
                <w:sz w:val="19"/>
                <w:szCs w:val="19"/>
                <w:lang w:eastAsia="en-US"/>
              </w:rPr>
              <w:t xml:space="preserve"> </w:t>
            </w:r>
            <w:r>
              <w:rPr>
                <w:snapToGrid w:val="0"/>
                <w:color w:val="000000"/>
                <w:spacing w:val="-2"/>
                <w:sz w:val="19"/>
                <w:szCs w:val="19"/>
                <w:lang w:eastAsia="en-US"/>
              </w:rPr>
              <w:t>-X</w:t>
            </w:r>
          </w:p>
        </w:tc>
      </w:tr>
      <w:tr w14:paraId="440A6E7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6" w:hRule="atLeast"/>
        </w:trPr>
        <w:tc>
          <w:tcPr>
            <w:tcW w:w="998" w:type="dxa"/>
          </w:tcPr>
          <w:p w14:paraId="6A01A9E4">
            <w:pPr>
              <w:pStyle w:val="22"/>
              <w:spacing w:before="52" w:line="227" w:lineRule="auto"/>
              <w:ind w:left="197" w:right="209"/>
              <w:rPr>
                <w:rFonts w:hint="eastAsia" w:ascii="宋体" w:hAnsi="宋体" w:eastAsia="宋体"/>
                <w:sz w:val="19"/>
                <w:szCs w:val="19"/>
              </w:rPr>
            </w:pPr>
            <w:r>
              <w:rPr>
                <w:rFonts w:ascii="宋体" w:hAnsi="宋体" w:eastAsia="宋体"/>
                <w:spacing w:val="7"/>
                <w:sz w:val="19"/>
                <w:szCs w:val="19"/>
              </w:rPr>
              <w:t>认证机构</w:t>
            </w:r>
            <w:r>
              <w:rPr>
                <w:rFonts w:ascii="宋体" w:hAnsi="宋体" w:eastAsia="宋体"/>
                <w:spacing w:val="6"/>
                <w:sz w:val="19"/>
                <w:szCs w:val="19"/>
              </w:rPr>
              <w:t>代码</w:t>
            </w:r>
          </w:p>
        </w:tc>
        <w:tc>
          <w:tcPr>
            <w:tcW w:w="1429" w:type="dxa"/>
          </w:tcPr>
          <w:p w14:paraId="5CDF6E76">
            <w:pPr>
              <w:pStyle w:val="22"/>
              <w:spacing w:before="239" w:line="226" w:lineRule="auto"/>
              <w:ind w:left="209"/>
              <w:rPr>
                <w:rFonts w:hint="eastAsia" w:ascii="宋体" w:hAnsi="宋体" w:eastAsia="宋体"/>
                <w:sz w:val="19"/>
                <w:szCs w:val="19"/>
              </w:rPr>
            </w:pPr>
            <w:r>
              <w:rPr>
                <w:rFonts w:ascii="宋体" w:hAnsi="宋体" w:eastAsia="宋体"/>
                <w:spacing w:val="8"/>
                <w:sz w:val="19"/>
                <w:szCs w:val="19"/>
              </w:rPr>
              <w:t>发证年份号</w:t>
            </w:r>
          </w:p>
        </w:tc>
        <w:tc>
          <w:tcPr>
            <w:tcW w:w="1345" w:type="dxa"/>
          </w:tcPr>
          <w:p w14:paraId="029D8E85">
            <w:pPr>
              <w:pStyle w:val="22"/>
              <w:spacing w:before="238" w:line="221" w:lineRule="auto"/>
              <w:rPr>
                <w:rFonts w:hint="eastAsia" w:ascii="宋体" w:hAnsi="宋体" w:eastAsia="宋体"/>
                <w:sz w:val="19"/>
                <w:szCs w:val="19"/>
              </w:rPr>
            </w:pPr>
            <w:r>
              <w:rPr>
                <w:rFonts w:hint="eastAsia" w:ascii="宋体" w:hAnsi="宋体" w:eastAsia="宋体"/>
                <w:spacing w:val="16"/>
                <w:sz w:val="19"/>
                <w:szCs w:val="19"/>
                <w:lang w:eastAsia="zh-CN"/>
              </w:rPr>
              <w:t>服务认证</w:t>
            </w:r>
            <w:r>
              <w:rPr>
                <w:rFonts w:ascii="宋体" w:hAnsi="宋体" w:eastAsia="宋体"/>
                <w:spacing w:val="16"/>
                <w:sz w:val="19"/>
                <w:szCs w:val="19"/>
              </w:rPr>
              <w:t>简写</w:t>
            </w:r>
          </w:p>
        </w:tc>
        <w:tc>
          <w:tcPr>
            <w:tcW w:w="1176" w:type="dxa"/>
          </w:tcPr>
          <w:p w14:paraId="71713C23">
            <w:pPr>
              <w:pStyle w:val="22"/>
              <w:spacing w:before="239" w:line="226" w:lineRule="auto"/>
              <w:ind w:left="361"/>
              <w:rPr>
                <w:rFonts w:hint="eastAsia" w:ascii="宋体" w:hAnsi="宋体" w:eastAsia="宋体"/>
                <w:sz w:val="19"/>
                <w:szCs w:val="19"/>
              </w:rPr>
            </w:pPr>
            <w:r>
              <w:rPr>
                <w:rFonts w:ascii="宋体" w:hAnsi="宋体" w:eastAsia="宋体"/>
                <w:spacing w:val="6"/>
                <w:sz w:val="19"/>
                <w:szCs w:val="19"/>
              </w:rPr>
              <w:t>顺序号</w:t>
            </w:r>
          </w:p>
        </w:tc>
        <w:tc>
          <w:tcPr>
            <w:tcW w:w="1488" w:type="dxa"/>
          </w:tcPr>
          <w:p w14:paraId="201CF0EC">
            <w:pPr>
              <w:pStyle w:val="22"/>
              <w:spacing w:before="238" w:line="227" w:lineRule="auto"/>
              <w:ind w:left="360"/>
              <w:rPr>
                <w:rFonts w:hint="eastAsia" w:ascii="宋体" w:hAnsi="宋体" w:eastAsia="宋体"/>
                <w:sz w:val="19"/>
                <w:szCs w:val="19"/>
              </w:rPr>
            </w:pPr>
            <w:r>
              <w:rPr>
                <w:rFonts w:ascii="宋体" w:hAnsi="宋体" w:eastAsia="宋体"/>
                <w:spacing w:val="6"/>
                <w:sz w:val="19"/>
                <w:szCs w:val="19"/>
              </w:rPr>
              <w:t>认证周期</w:t>
            </w:r>
          </w:p>
        </w:tc>
        <w:tc>
          <w:tcPr>
            <w:tcW w:w="2352" w:type="dxa"/>
          </w:tcPr>
          <w:p w14:paraId="11534F00">
            <w:pPr>
              <w:pStyle w:val="22"/>
              <w:spacing w:before="239" w:line="226" w:lineRule="auto"/>
              <w:ind w:firstLine="244"/>
              <w:jc w:val="right"/>
              <w:rPr>
                <w:rFonts w:hint="eastAsia" w:ascii="宋体" w:hAnsi="宋体" w:eastAsia="宋体"/>
                <w:sz w:val="19"/>
                <w:szCs w:val="19"/>
                <w:lang w:eastAsia="zh-CN"/>
              </w:rPr>
            </w:pPr>
            <w:r>
              <w:rPr>
                <w:rFonts w:ascii="宋体" w:hAnsi="宋体" w:eastAsia="宋体"/>
                <w:spacing w:val="-28"/>
                <w:w w:val="94"/>
                <w:sz w:val="19"/>
                <w:szCs w:val="19"/>
                <w:lang w:eastAsia="zh-CN"/>
              </w:rPr>
              <w:t>认</w:t>
            </w:r>
            <w:r>
              <w:rPr>
                <w:rFonts w:ascii="宋体" w:hAnsi="宋体" w:eastAsia="宋体"/>
                <w:spacing w:val="-27"/>
                <w:w w:val="94"/>
                <w:sz w:val="19"/>
                <w:szCs w:val="19"/>
                <w:lang w:eastAsia="zh-CN"/>
              </w:rPr>
              <w:t>可机构代码</w:t>
            </w:r>
            <w:r>
              <w:rPr>
                <w:rFonts w:ascii="宋体" w:hAnsi="宋体" w:eastAsia="宋体"/>
                <w:spacing w:val="37"/>
                <w:sz w:val="19"/>
                <w:szCs w:val="19"/>
                <w:lang w:eastAsia="zh-CN"/>
              </w:rPr>
              <w:t xml:space="preserve">  </w:t>
            </w:r>
            <w:r>
              <w:rPr>
                <w:rFonts w:ascii="宋体" w:hAnsi="宋体" w:eastAsia="宋体"/>
                <w:spacing w:val="-27"/>
                <w:w w:val="94"/>
                <w:sz w:val="19"/>
                <w:szCs w:val="19"/>
                <w:lang w:eastAsia="zh-CN"/>
              </w:rPr>
              <w:t>子证书</w:t>
            </w:r>
            <w:r>
              <w:rPr>
                <w:rFonts w:ascii="宋体" w:hAnsi="宋体" w:eastAsia="宋体"/>
                <w:spacing w:val="-16"/>
                <w:w w:val="94"/>
                <w:sz w:val="19"/>
                <w:szCs w:val="19"/>
                <w:lang w:eastAsia="zh-CN"/>
              </w:rPr>
              <w:t>号</w:t>
            </w:r>
          </w:p>
        </w:tc>
      </w:tr>
    </w:tbl>
    <w:p w14:paraId="5F3DBA27">
      <w:pPr>
        <w:pStyle w:val="5"/>
        <w:spacing w:line="271" w:lineRule="auto"/>
        <w:ind w:firstLine="420"/>
        <w:rPr>
          <w:rFonts w:hint="eastAsia"/>
        </w:rPr>
      </w:pPr>
      <w:r>
        <w:drawing>
          <wp:anchor distT="0" distB="0" distL="114300" distR="114300" simplePos="0" relativeHeight="251664384" behindDoc="0" locked="0" layoutInCell="1" allowOverlap="1">
            <wp:simplePos x="0" y="0"/>
            <wp:positionH relativeFrom="column">
              <wp:posOffset>379095</wp:posOffset>
            </wp:positionH>
            <wp:positionV relativeFrom="paragraph">
              <wp:posOffset>100330</wp:posOffset>
            </wp:positionV>
            <wp:extent cx="17780" cy="5292090"/>
            <wp:effectExtent l="0" t="0" r="12700" b="11430"/>
            <wp:wrapNone/>
            <wp:docPr id="4"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 4"/>
                    <pic:cNvPicPr>
                      <a:picLocks noChangeAspect="1"/>
                    </pic:cNvPicPr>
                  </pic:nvPicPr>
                  <pic:blipFill>
                    <a:blip r:embed="rId10"/>
                    <a:stretch>
                      <a:fillRect/>
                    </a:stretch>
                  </pic:blipFill>
                  <pic:spPr>
                    <a:xfrm>
                      <a:off x="0" y="0"/>
                      <a:ext cx="17780" cy="5292090"/>
                    </a:xfrm>
                    <a:prstGeom prst="rect">
                      <a:avLst/>
                    </a:prstGeom>
                    <a:noFill/>
                    <a:ln>
                      <a:noFill/>
                    </a:ln>
                  </pic:spPr>
                </pic:pic>
              </a:graphicData>
            </a:graphic>
          </wp:anchor>
        </w:drawing>
      </w:r>
      <w:r>
        <w:drawing>
          <wp:anchor distT="0" distB="0" distL="114300" distR="114300" simplePos="0" relativeHeight="251661312" behindDoc="0" locked="0" layoutInCell="1" allowOverlap="1">
            <wp:simplePos x="0" y="0"/>
            <wp:positionH relativeFrom="column">
              <wp:posOffset>1240790</wp:posOffset>
            </wp:positionH>
            <wp:positionV relativeFrom="paragraph">
              <wp:posOffset>100965</wp:posOffset>
            </wp:positionV>
            <wp:extent cx="53340" cy="5003800"/>
            <wp:effectExtent l="0" t="0" r="7620" b="10160"/>
            <wp:wrapNone/>
            <wp:docPr id="9" name="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 8"/>
                    <pic:cNvPicPr>
                      <a:picLocks noChangeAspect="1"/>
                    </pic:cNvPicPr>
                  </pic:nvPicPr>
                  <pic:blipFill>
                    <a:blip r:embed="rId11"/>
                    <a:stretch>
                      <a:fillRect/>
                    </a:stretch>
                  </pic:blipFill>
                  <pic:spPr>
                    <a:xfrm>
                      <a:off x="0" y="0"/>
                      <a:ext cx="53340" cy="5003800"/>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2155190</wp:posOffset>
            </wp:positionH>
            <wp:positionV relativeFrom="paragraph">
              <wp:posOffset>104775</wp:posOffset>
            </wp:positionV>
            <wp:extent cx="20320" cy="4751705"/>
            <wp:effectExtent l="0" t="0" r="10160" b="3175"/>
            <wp:wrapNone/>
            <wp:docPr id="10" name="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 10"/>
                    <pic:cNvPicPr>
                      <a:picLocks noChangeAspect="1"/>
                    </pic:cNvPicPr>
                  </pic:nvPicPr>
                  <pic:blipFill>
                    <a:blip r:embed="rId12"/>
                    <a:stretch>
                      <a:fillRect/>
                    </a:stretch>
                  </pic:blipFill>
                  <pic:spPr>
                    <a:xfrm>
                      <a:off x="0" y="0"/>
                      <a:ext cx="20320" cy="475170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2920365</wp:posOffset>
            </wp:positionH>
            <wp:positionV relativeFrom="paragraph">
              <wp:posOffset>151765</wp:posOffset>
            </wp:positionV>
            <wp:extent cx="25400" cy="4175760"/>
            <wp:effectExtent l="0" t="0" r="5080" b="0"/>
            <wp:wrapNone/>
            <wp:docPr id="11" name="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 12"/>
                    <pic:cNvPicPr>
                      <a:picLocks noChangeAspect="1"/>
                    </pic:cNvPicPr>
                  </pic:nvPicPr>
                  <pic:blipFill>
                    <a:blip r:embed="rId13"/>
                    <a:stretch>
                      <a:fillRect/>
                    </a:stretch>
                  </pic:blipFill>
                  <pic:spPr>
                    <a:xfrm>
                      <a:off x="0" y="0"/>
                      <a:ext cx="25400" cy="417576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3792855</wp:posOffset>
            </wp:positionH>
            <wp:positionV relativeFrom="paragraph">
              <wp:posOffset>114300</wp:posOffset>
            </wp:positionV>
            <wp:extent cx="10160" cy="3599815"/>
            <wp:effectExtent l="0" t="0" r="5080" b="12065"/>
            <wp:wrapNone/>
            <wp:docPr id="7" name="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 6"/>
                    <pic:cNvPicPr>
                      <a:picLocks noChangeAspect="1"/>
                    </pic:cNvPicPr>
                  </pic:nvPicPr>
                  <pic:blipFill>
                    <a:blip r:embed="rId14"/>
                    <a:stretch>
                      <a:fillRect/>
                    </a:stretch>
                  </pic:blipFill>
                  <pic:spPr>
                    <a:xfrm>
                      <a:off x="0" y="0"/>
                      <a:ext cx="10160" cy="3599815"/>
                    </a:xfrm>
                    <a:prstGeom prst="rect">
                      <a:avLst/>
                    </a:prstGeom>
                    <a:noFill/>
                    <a:ln>
                      <a:noFill/>
                    </a:ln>
                  </pic:spPr>
                </pic:pic>
              </a:graphicData>
            </a:graphic>
          </wp:anchor>
        </w:drawing>
      </w:r>
      <w:r>
        <w:drawing>
          <wp:anchor distT="0" distB="0" distL="114300" distR="114300" simplePos="0" relativeHeight="251666432" behindDoc="0" locked="0" layoutInCell="1" allowOverlap="1">
            <wp:simplePos x="0" y="0"/>
            <wp:positionH relativeFrom="column">
              <wp:posOffset>4684395</wp:posOffset>
            </wp:positionH>
            <wp:positionV relativeFrom="paragraph">
              <wp:posOffset>123825</wp:posOffset>
            </wp:positionV>
            <wp:extent cx="13970" cy="2339975"/>
            <wp:effectExtent l="0" t="0" r="1270" b="6985"/>
            <wp:wrapNone/>
            <wp:docPr id="8" name="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 14"/>
                    <pic:cNvPicPr>
                      <a:picLocks noChangeAspect="1"/>
                    </pic:cNvPicPr>
                  </pic:nvPicPr>
                  <pic:blipFill>
                    <a:blip r:embed="rId15"/>
                    <a:stretch>
                      <a:fillRect/>
                    </a:stretch>
                  </pic:blipFill>
                  <pic:spPr>
                    <a:xfrm>
                      <a:off x="0" y="0"/>
                      <a:ext cx="13970" cy="2339975"/>
                    </a:xfrm>
                    <a:prstGeom prst="rect">
                      <a:avLst/>
                    </a:prstGeom>
                    <a:noFill/>
                    <a:ln>
                      <a:noFill/>
                    </a:ln>
                  </pic:spPr>
                </pic:pic>
              </a:graphicData>
            </a:graphic>
          </wp:anchor>
        </w:drawing>
      </w:r>
    </w:p>
    <w:p w14:paraId="5E1B56F6">
      <w:pPr>
        <w:pStyle w:val="5"/>
        <w:spacing w:line="271" w:lineRule="auto"/>
        <w:ind w:firstLine="420"/>
        <w:rPr>
          <w:rFonts w:hint="eastAsia"/>
        </w:rPr>
      </w:pPr>
    </w:p>
    <w:p w14:paraId="59E411AD">
      <w:pPr>
        <w:pStyle w:val="5"/>
        <w:spacing w:line="271" w:lineRule="auto"/>
        <w:ind w:firstLine="420"/>
        <w:rPr>
          <w:rFonts w:hint="eastAsia"/>
        </w:rPr>
      </w:pPr>
    </w:p>
    <w:p w14:paraId="1D8712C9">
      <w:pPr>
        <w:spacing w:before="65" w:line="289" w:lineRule="auto"/>
        <w:ind w:left="7697"/>
        <w:rPr>
          <w:rFonts w:hint="eastAsia" w:cs="仿宋"/>
          <w:sz w:val="20"/>
        </w:rPr>
      </w:pPr>
      <w:r>
        <w:rPr>
          <w:rFonts w:cs="仿宋"/>
          <w:spacing w:val="5"/>
          <w:sz w:val="20"/>
        </w:rPr>
        <w:t>多场所组织</w:t>
      </w:r>
      <w:r>
        <w:rPr>
          <w:rFonts w:cs="仿宋"/>
          <w:spacing w:val="9"/>
          <w:sz w:val="20"/>
        </w:rPr>
        <w:t>的子证书编号应与主证书的编号相关，在主证书编号后</w:t>
      </w:r>
      <w:r>
        <w:rPr>
          <w:rFonts w:cs="仿宋"/>
          <w:spacing w:val="-8"/>
          <w:sz w:val="20"/>
        </w:rPr>
        <w:t>加</w:t>
      </w:r>
      <w:r>
        <w:rPr>
          <w:rFonts w:cs="仿宋"/>
          <w:spacing w:val="-21"/>
          <w:sz w:val="20"/>
        </w:rPr>
        <w:t xml:space="preserve"> </w:t>
      </w:r>
      <w:r>
        <w:rPr>
          <w:rFonts w:cs="仿宋"/>
          <w:spacing w:val="-8"/>
          <w:sz w:val="20"/>
        </w:rPr>
        <w:t>子</w:t>
      </w:r>
      <w:r>
        <w:rPr>
          <w:rFonts w:cs="仿宋"/>
          <w:spacing w:val="-31"/>
          <w:sz w:val="20"/>
        </w:rPr>
        <w:t xml:space="preserve"> </w:t>
      </w:r>
      <w:r>
        <w:rPr>
          <w:rFonts w:cs="仿宋"/>
          <w:spacing w:val="-8"/>
          <w:sz w:val="20"/>
        </w:rPr>
        <w:t>证</w:t>
      </w:r>
      <w:r>
        <w:rPr>
          <w:rFonts w:cs="仿宋"/>
          <w:spacing w:val="-22"/>
          <w:sz w:val="20"/>
        </w:rPr>
        <w:t xml:space="preserve"> </w:t>
      </w:r>
      <w:r>
        <w:rPr>
          <w:rFonts w:cs="仿宋"/>
          <w:spacing w:val="-8"/>
          <w:sz w:val="20"/>
        </w:rPr>
        <w:t>书</w:t>
      </w:r>
      <w:r>
        <w:rPr>
          <w:rFonts w:cs="仿宋"/>
          <w:spacing w:val="-31"/>
          <w:sz w:val="20"/>
        </w:rPr>
        <w:t xml:space="preserve"> </w:t>
      </w:r>
      <w:r>
        <w:rPr>
          <w:rFonts w:cs="仿宋"/>
          <w:spacing w:val="-8"/>
          <w:sz w:val="20"/>
        </w:rPr>
        <w:t>序</w:t>
      </w:r>
      <w:r>
        <w:rPr>
          <w:rFonts w:cs="仿宋"/>
          <w:spacing w:val="-10"/>
          <w:sz w:val="20"/>
        </w:rPr>
        <w:t>号</w:t>
      </w:r>
      <w:r>
        <w:rPr>
          <w:rFonts w:cs="仿宋"/>
          <w:spacing w:val="86"/>
          <w:sz w:val="20"/>
        </w:rPr>
        <w:t xml:space="preserve"> </w:t>
      </w:r>
      <w:r>
        <w:rPr>
          <w:rFonts w:cs="仿宋"/>
          <w:spacing w:val="-10"/>
          <w:sz w:val="20"/>
        </w:rPr>
        <w:t>：</w:t>
      </w:r>
      <w:r>
        <w:rPr>
          <w:rFonts w:cs="仿宋"/>
          <w:spacing w:val="69"/>
          <w:sz w:val="20"/>
        </w:rPr>
        <w:t xml:space="preserve"> </w:t>
      </w:r>
      <w:r>
        <w:rPr>
          <w:spacing w:val="-10"/>
          <w:sz w:val="20"/>
        </w:rPr>
        <w:t>-1</w:t>
      </w:r>
      <w:r>
        <w:rPr>
          <w:spacing w:val="11"/>
          <w:sz w:val="20"/>
        </w:rPr>
        <w:t xml:space="preserve">   </w:t>
      </w:r>
      <w:r>
        <w:rPr>
          <w:rFonts w:cs="仿宋"/>
          <w:spacing w:val="-10"/>
          <w:sz w:val="20"/>
        </w:rPr>
        <w:t>，</w:t>
      </w:r>
      <w:r>
        <w:rPr>
          <w:rFonts w:cs="仿宋"/>
          <w:sz w:val="20"/>
        </w:rPr>
        <w:t xml:space="preserve"> </w:t>
      </w:r>
      <w:r>
        <w:rPr>
          <w:spacing w:val="-7"/>
          <w:sz w:val="20"/>
        </w:rPr>
        <w:t>-2</w:t>
      </w:r>
      <w:r>
        <w:rPr>
          <w:spacing w:val="-20"/>
          <w:sz w:val="20"/>
        </w:rPr>
        <w:t xml:space="preserve"> </w:t>
      </w:r>
      <w:r>
        <w:rPr>
          <w:rFonts w:cs="仿宋"/>
          <w:spacing w:val="-7"/>
          <w:sz w:val="20"/>
        </w:rPr>
        <w:t>，</w:t>
      </w:r>
      <w:r>
        <w:rPr>
          <w:rFonts w:cs="仿宋"/>
          <w:spacing w:val="-70"/>
          <w:sz w:val="20"/>
        </w:rPr>
        <w:t xml:space="preserve"> </w:t>
      </w:r>
      <w:r>
        <w:rPr>
          <w:rFonts w:cs="仿宋"/>
          <w:spacing w:val="-7"/>
          <w:sz w:val="20"/>
        </w:rPr>
        <w:t>……</w:t>
      </w:r>
    </w:p>
    <w:p w14:paraId="61E862F0">
      <w:pPr>
        <w:spacing w:before="233" w:line="288" w:lineRule="auto"/>
        <w:ind w:left="7483" w:right="132"/>
        <w:rPr>
          <w:rFonts w:hint="eastAsia" w:cs="仿宋"/>
          <w:sz w:val="20"/>
        </w:rPr>
      </w:pPr>
      <w:r>
        <w:rPr>
          <w:rFonts w:cs="仿宋"/>
          <w:spacing w:val="27"/>
          <w:sz w:val="20"/>
        </w:rPr>
        <w:t>通过认可的填写认</w:t>
      </w:r>
      <w:r>
        <w:rPr>
          <w:rFonts w:cs="仿宋"/>
          <w:spacing w:val="3"/>
          <w:sz w:val="20"/>
        </w:rPr>
        <w:t>可机构代码，未通过认可</w:t>
      </w:r>
      <w:r>
        <w:rPr>
          <w:rFonts w:cs="仿宋"/>
          <w:spacing w:val="-5"/>
          <w:sz w:val="20"/>
        </w:rPr>
        <w:t>代码为“</w:t>
      </w:r>
      <w:r>
        <w:rPr>
          <w:spacing w:val="-5"/>
          <w:sz w:val="20"/>
        </w:rPr>
        <w:t>00</w:t>
      </w:r>
      <w:r>
        <w:rPr>
          <w:rFonts w:cs="仿宋"/>
          <w:spacing w:val="-5"/>
          <w:sz w:val="20"/>
        </w:rPr>
        <w:t>”。</w:t>
      </w:r>
    </w:p>
    <w:p w14:paraId="4AF7822F">
      <w:pPr>
        <w:spacing w:before="66" w:line="288" w:lineRule="auto"/>
        <w:ind w:left="6293" w:right="322"/>
        <w:rPr>
          <w:rFonts w:hint="eastAsia" w:cs="仿宋"/>
          <w:sz w:val="20"/>
        </w:rPr>
      </w:pPr>
      <w:r>
        <w:rPr>
          <w:rFonts w:cs="仿宋"/>
          <w:spacing w:val="-6"/>
          <w:sz w:val="20"/>
        </w:rPr>
        <w:t>后缀表示初次认证或再认证换证号：</w:t>
      </w:r>
      <w:r>
        <w:rPr>
          <w:rFonts w:cs="仿宋"/>
          <w:spacing w:val="7"/>
          <w:sz w:val="20"/>
        </w:rPr>
        <w:t>初次认证为</w:t>
      </w:r>
      <w:r>
        <w:rPr>
          <w:rFonts w:cs="仿宋"/>
          <w:spacing w:val="-36"/>
          <w:sz w:val="20"/>
        </w:rPr>
        <w:t xml:space="preserve"> </w:t>
      </w:r>
      <w:r>
        <w:rPr>
          <w:spacing w:val="7"/>
          <w:sz w:val="20"/>
        </w:rPr>
        <w:t>R0</w:t>
      </w:r>
      <w:r>
        <w:rPr>
          <w:spacing w:val="-8"/>
          <w:sz w:val="20"/>
        </w:rPr>
        <w:t xml:space="preserve"> </w:t>
      </w:r>
      <w:r>
        <w:rPr>
          <w:rFonts w:cs="仿宋"/>
          <w:spacing w:val="7"/>
          <w:sz w:val="20"/>
        </w:rPr>
        <w:t>，</w:t>
      </w:r>
      <w:r>
        <w:rPr>
          <w:rFonts w:cs="仿宋"/>
          <w:spacing w:val="-59"/>
          <w:sz w:val="20"/>
        </w:rPr>
        <w:t xml:space="preserve"> </w:t>
      </w:r>
      <w:r>
        <w:rPr>
          <w:rFonts w:cs="仿宋"/>
          <w:spacing w:val="7"/>
          <w:sz w:val="20"/>
        </w:rPr>
        <w:t>第一次再认证换证为</w:t>
      </w:r>
      <w:r>
        <w:rPr>
          <w:spacing w:val="3"/>
          <w:sz w:val="20"/>
        </w:rPr>
        <w:t>R1</w:t>
      </w:r>
      <w:r>
        <w:rPr>
          <w:spacing w:val="-20"/>
          <w:sz w:val="20"/>
        </w:rPr>
        <w:t xml:space="preserve"> </w:t>
      </w:r>
      <w:r>
        <w:rPr>
          <w:rFonts w:cs="仿宋"/>
          <w:spacing w:val="3"/>
          <w:sz w:val="20"/>
        </w:rPr>
        <w:t>，第二次再认证换证为</w:t>
      </w:r>
      <w:r>
        <w:rPr>
          <w:rFonts w:cs="仿宋"/>
          <w:spacing w:val="-44"/>
          <w:sz w:val="20"/>
        </w:rPr>
        <w:t xml:space="preserve"> </w:t>
      </w:r>
      <w:r>
        <w:rPr>
          <w:spacing w:val="3"/>
          <w:sz w:val="20"/>
        </w:rPr>
        <w:t>R2</w:t>
      </w:r>
      <w:r>
        <w:rPr>
          <w:spacing w:val="-18"/>
          <w:sz w:val="20"/>
        </w:rPr>
        <w:t xml:space="preserve"> </w:t>
      </w:r>
      <w:r>
        <w:rPr>
          <w:rFonts w:cs="仿宋"/>
          <w:spacing w:val="3"/>
          <w:sz w:val="20"/>
        </w:rPr>
        <w:t>，</w:t>
      </w:r>
      <w:r>
        <w:rPr>
          <w:rFonts w:cs="仿宋"/>
          <w:spacing w:val="-72"/>
          <w:sz w:val="20"/>
        </w:rPr>
        <w:t xml:space="preserve"> </w:t>
      </w:r>
      <w:r>
        <w:rPr>
          <w:rFonts w:cs="仿宋"/>
          <w:spacing w:val="3"/>
          <w:sz w:val="20"/>
        </w:rPr>
        <w:t>……</w:t>
      </w:r>
    </w:p>
    <w:p w14:paraId="144A3386">
      <w:pPr>
        <w:spacing w:before="131" w:line="285" w:lineRule="auto"/>
        <w:ind w:left="4950" w:leftChars="2250" w:right="175"/>
        <w:rPr>
          <w:rFonts w:hint="eastAsia" w:cs="仿宋"/>
          <w:sz w:val="20"/>
        </w:rPr>
      </w:pPr>
      <w:r>
        <w:rPr>
          <w:rFonts w:cs="仿宋"/>
          <w:spacing w:val="12"/>
          <w:sz w:val="20"/>
        </w:rPr>
        <w:t>一个认证机构当年发出</w:t>
      </w:r>
      <w:r>
        <w:rPr>
          <w:rFonts w:hint="eastAsia"/>
          <w:sz w:val="19"/>
          <w:szCs w:val="19"/>
          <w:lang w:val="en-US" w:eastAsia="zh-CN"/>
        </w:rPr>
        <w:t>商品售后</w:t>
      </w:r>
      <w:r>
        <w:rPr>
          <w:rFonts w:hint="eastAsia"/>
          <w:sz w:val="19"/>
          <w:szCs w:val="19"/>
        </w:rPr>
        <w:t>服务</w:t>
      </w:r>
      <w:r>
        <w:rPr>
          <w:rFonts w:cs="仿宋"/>
          <w:spacing w:val="12"/>
          <w:sz w:val="20"/>
        </w:rPr>
        <w:t>认证证书的顺序累</w:t>
      </w:r>
      <w:r>
        <w:rPr>
          <w:rFonts w:cs="仿宋"/>
          <w:sz w:val="20"/>
        </w:rPr>
        <w:t>计号：</w:t>
      </w:r>
      <w:r>
        <w:rPr>
          <w:rFonts w:hint="eastAsia" w:cs="仿宋"/>
          <w:sz w:val="20"/>
        </w:rPr>
        <w:t xml:space="preserve"> </w:t>
      </w:r>
      <w:r>
        <w:rPr>
          <w:sz w:val="20"/>
        </w:rPr>
        <w:t>00001</w:t>
      </w:r>
      <w:r>
        <w:rPr>
          <w:spacing w:val="-8"/>
          <w:sz w:val="20"/>
        </w:rPr>
        <w:t xml:space="preserve"> </w:t>
      </w:r>
      <w:r>
        <w:rPr>
          <w:rFonts w:cs="仿宋"/>
          <w:sz w:val="20"/>
        </w:rPr>
        <w:t>，</w:t>
      </w:r>
      <w:r>
        <w:rPr>
          <w:sz w:val="20"/>
        </w:rPr>
        <w:t>00002</w:t>
      </w:r>
      <w:r>
        <w:rPr>
          <w:spacing w:val="-20"/>
          <w:sz w:val="20"/>
        </w:rPr>
        <w:t xml:space="preserve"> </w:t>
      </w:r>
      <w:r>
        <w:rPr>
          <w:rFonts w:cs="仿宋"/>
          <w:sz w:val="20"/>
        </w:rPr>
        <w:t>，</w:t>
      </w:r>
      <w:r>
        <w:rPr>
          <w:rFonts w:cs="仿宋"/>
          <w:spacing w:val="-69"/>
          <w:sz w:val="20"/>
        </w:rPr>
        <w:t xml:space="preserve"> </w:t>
      </w:r>
      <w:r>
        <w:rPr>
          <w:rFonts w:cs="仿宋"/>
          <w:sz w:val="20"/>
        </w:rPr>
        <w:t>……</w:t>
      </w:r>
    </w:p>
    <w:p w14:paraId="7DA7451D">
      <w:pPr>
        <w:spacing w:before="141" w:line="221" w:lineRule="auto"/>
        <w:ind w:firstLine="3623" w:firstLineChars="1693"/>
        <w:rPr>
          <w:rFonts w:hint="eastAsia" w:cs="仿宋"/>
          <w:sz w:val="20"/>
        </w:rPr>
      </w:pPr>
      <w:r>
        <w:rPr>
          <w:rFonts w:cs="仿宋"/>
          <w:spacing w:val="7"/>
          <w:sz w:val="20"/>
        </w:rPr>
        <w:t>认证证书所属领域代号：</w:t>
      </w:r>
      <w:r>
        <w:rPr>
          <w:rFonts w:hint="eastAsia" w:cs="仿宋"/>
          <w:spacing w:val="7"/>
          <w:sz w:val="20"/>
        </w:rPr>
        <w:t>C</w:t>
      </w:r>
      <w:r>
        <w:rPr>
          <w:rFonts w:hint="eastAsia"/>
          <w:sz w:val="19"/>
          <w:szCs w:val="19"/>
        </w:rPr>
        <w:t>为服务认证的简称</w:t>
      </w:r>
      <w:r>
        <w:rPr>
          <w:rFonts w:cs="仿宋"/>
          <w:spacing w:val="7"/>
          <w:sz w:val="20"/>
        </w:rPr>
        <w:t>。</w:t>
      </w:r>
    </w:p>
    <w:p w14:paraId="15135489">
      <w:pPr>
        <w:spacing w:before="199" w:line="231" w:lineRule="auto"/>
        <w:ind w:firstLine="2053" w:firstLineChars="997"/>
        <w:rPr>
          <w:rFonts w:hint="eastAsia" w:cs="仿宋"/>
          <w:sz w:val="20"/>
        </w:rPr>
      </w:pPr>
      <w:r>
        <w:rPr>
          <w:rFonts w:cs="仿宋"/>
          <w:spacing w:val="3"/>
          <w:sz w:val="20"/>
        </w:rPr>
        <w:t>认证证书签发年份：</w:t>
      </w:r>
      <w:r>
        <w:rPr>
          <w:spacing w:val="3"/>
          <w:sz w:val="20"/>
        </w:rPr>
        <w:t>25-2025</w:t>
      </w:r>
      <w:r>
        <w:rPr>
          <w:spacing w:val="-10"/>
          <w:sz w:val="20"/>
        </w:rPr>
        <w:t xml:space="preserve"> </w:t>
      </w:r>
      <w:r>
        <w:rPr>
          <w:rFonts w:cs="仿宋"/>
          <w:spacing w:val="3"/>
          <w:sz w:val="20"/>
        </w:rPr>
        <w:t>，</w:t>
      </w:r>
      <w:r>
        <w:rPr>
          <w:spacing w:val="3"/>
          <w:sz w:val="20"/>
        </w:rPr>
        <w:t>26-2026</w:t>
      </w:r>
      <w:r>
        <w:rPr>
          <w:spacing w:val="-23"/>
          <w:sz w:val="20"/>
        </w:rPr>
        <w:t xml:space="preserve"> </w:t>
      </w:r>
      <w:r>
        <w:rPr>
          <w:rFonts w:cs="仿宋"/>
          <w:spacing w:val="3"/>
          <w:sz w:val="20"/>
        </w:rPr>
        <w:t>，</w:t>
      </w:r>
      <w:r>
        <w:rPr>
          <w:rFonts w:cs="仿宋"/>
          <w:spacing w:val="-69"/>
          <w:sz w:val="20"/>
        </w:rPr>
        <w:t xml:space="preserve"> </w:t>
      </w:r>
      <w:r>
        <w:rPr>
          <w:rFonts w:cs="仿宋"/>
          <w:spacing w:val="3"/>
          <w:sz w:val="20"/>
        </w:rPr>
        <w:t>……</w:t>
      </w:r>
    </w:p>
    <w:p w14:paraId="219ECDEF">
      <w:pPr>
        <w:spacing w:before="288" w:line="288" w:lineRule="auto"/>
        <w:ind w:left="113" w:right="206" w:firstLine="619" w:firstLineChars="292"/>
        <w:rPr>
          <w:rFonts w:hint="eastAsia" w:cs="仿宋"/>
          <w:sz w:val="20"/>
        </w:rPr>
      </w:pPr>
      <w:r>
        <w:rPr>
          <w:rFonts w:cs="仿宋"/>
          <w:spacing w:val="6"/>
          <w:sz w:val="20"/>
        </w:rPr>
        <w:t>内资认证机构为认证机构批准号后三</w:t>
      </w:r>
      <w:r>
        <w:rPr>
          <w:spacing w:val="6"/>
          <w:sz w:val="20"/>
        </w:rPr>
        <w:t>/</w:t>
      </w:r>
      <w:r>
        <w:rPr>
          <w:rFonts w:cs="仿宋"/>
          <w:spacing w:val="6"/>
          <w:sz w:val="20"/>
        </w:rPr>
        <w:t>四位数字批准流水号；外资认证机构为</w:t>
      </w:r>
      <w:r>
        <w:rPr>
          <w:rFonts w:cs="仿宋"/>
          <w:spacing w:val="-37"/>
          <w:sz w:val="20"/>
        </w:rPr>
        <w:t xml:space="preserve"> </w:t>
      </w:r>
      <w:r>
        <w:rPr>
          <w:spacing w:val="6"/>
          <w:sz w:val="20"/>
        </w:rPr>
        <w:t>F+</w:t>
      </w:r>
      <w:r>
        <w:rPr>
          <w:rFonts w:cs="仿宋"/>
          <w:spacing w:val="6"/>
          <w:sz w:val="20"/>
        </w:rPr>
        <w:t>认证机构批</w:t>
      </w:r>
      <w:r>
        <w:rPr>
          <w:rFonts w:cs="仿宋"/>
          <w:spacing w:val="7"/>
          <w:sz w:val="20"/>
        </w:rPr>
        <w:t>准号后三数字批准流水号，不足三位的，首位以</w:t>
      </w:r>
      <w:r>
        <w:rPr>
          <w:rFonts w:cs="仿宋"/>
          <w:spacing w:val="-26"/>
          <w:sz w:val="20"/>
        </w:rPr>
        <w:t xml:space="preserve"> </w:t>
      </w:r>
      <w:r>
        <w:rPr>
          <w:spacing w:val="7"/>
          <w:sz w:val="20"/>
        </w:rPr>
        <w:t>0</w:t>
      </w:r>
      <w:r>
        <w:rPr>
          <w:spacing w:val="21"/>
          <w:sz w:val="20"/>
        </w:rPr>
        <w:t xml:space="preserve"> </w:t>
      </w:r>
      <w:r>
        <w:rPr>
          <w:rFonts w:cs="仿宋"/>
          <w:spacing w:val="7"/>
          <w:sz w:val="20"/>
        </w:rPr>
        <w:t>补位。</w:t>
      </w:r>
    </w:p>
    <w:p w14:paraId="644F0C35">
      <w:pPr>
        <w:ind w:firstLine="468"/>
        <w:rPr>
          <w:rFonts w:hint="eastAsia"/>
        </w:rPr>
      </w:pPr>
      <w:r>
        <w:rPr>
          <w:rFonts w:cs="仿宋"/>
          <w:spacing w:val="-3"/>
          <w:sz w:val="24"/>
          <w:szCs w:val="24"/>
        </w:rPr>
        <w:t>资</w:t>
      </w:r>
      <w:r>
        <w:t>认证机构，RF 表示外资认证机构，年份为4位阿拉伯数字，流水号是内资、外资认证机构分别流水编号。 内资认证机构代码为：该认证机构批准号的3位或4位阿拉伯数字批准流水号；外资认证机构代码为：F+认证机构批准号的后3位阿拉伯数字批准流水号，不足3位的，首位以0补位。</w:t>
      </w:r>
    </w:p>
    <w:p w14:paraId="47944AE9">
      <w:pPr>
        <w:ind w:firstLine="420"/>
        <w:rPr>
          <w:rFonts w:hint="eastAsia"/>
        </w:rPr>
      </w:pPr>
      <w:r>
        <w:t>C.2  同一个组织的认证范围覆盖多个场所并需要颁发子证书时，子证书编号为在主认证证书编号后加上 “- ”和序号，如-1（-2 ，-3， … … ) 。</w:t>
      </w:r>
    </w:p>
    <w:p w14:paraId="1F0A9793">
      <w:pPr>
        <w:ind w:firstLine="420"/>
        <w:rPr>
          <w:rFonts w:hint="eastAsia"/>
        </w:rPr>
      </w:pPr>
      <w:r>
        <w:t>C.3  有效期内换发认证证书，认证证书编号中的机构注册号、年份号、顺序号和认证证书的有效期保持不变，应注明换证日期。</w:t>
      </w:r>
    </w:p>
    <w:p w14:paraId="7465AE74">
      <w:pPr>
        <w:ind w:firstLine="420"/>
        <w:rPr>
          <w:rFonts w:hint="eastAsia"/>
        </w:rPr>
      </w:pPr>
      <w:r>
        <w:t>C.4  再认证完成后换发认证证书，按 C. 1规定重新赋予认证证书编号，初次认证为 “R0”，第一次再认证为 “R1”，第二次再认证为 “R2” ，依此类推。</w:t>
      </w:r>
    </w:p>
    <w:p w14:paraId="7BE27FFD">
      <w:pPr>
        <w:ind w:firstLine="420"/>
        <w:rPr>
          <w:rFonts w:hint="eastAsia"/>
        </w:rPr>
        <w:sectPr>
          <w:pgSz w:w="11905" w:h="16838"/>
          <w:pgMar w:top="851" w:right="851" w:bottom="851" w:left="851" w:header="170" w:footer="851" w:gutter="0"/>
          <w:cols w:space="720" w:num="1"/>
          <w:docGrid w:type="linesAndChars" w:linePitch="317" w:charSpace="0"/>
        </w:sectPr>
      </w:pPr>
      <w:r>
        <w:t>C.5  撤销认证证书后，原认证证书编号废止，不再使用</w:t>
      </w:r>
    </w:p>
    <w:p w14:paraId="39D5142E">
      <w:pPr>
        <w:pStyle w:val="2"/>
        <w:bidi w:val="0"/>
      </w:pPr>
      <w:bookmarkStart w:id="86" w:name="_Toc200814025"/>
      <w:bookmarkStart w:id="87" w:name="_Toc23900"/>
      <w:r>
        <w:rPr>
          <w:rFonts w:hint="eastAsia"/>
        </w:rPr>
        <w:t>附件</w:t>
      </w:r>
      <w:bookmarkEnd w:id="86"/>
      <w:r>
        <w:rPr>
          <w:rFonts w:hint="eastAsia"/>
          <w:lang w:val="en-US" w:eastAsia="zh-CN"/>
        </w:rPr>
        <w:t>四</w:t>
      </w:r>
      <w:bookmarkStart w:id="88" w:name="_Toc200814026"/>
      <w:r>
        <w:rPr>
          <w:rFonts w:hint="eastAsia"/>
          <w:lang w:val="en-US" w:eastAsia="zh-CN"/>
        </w:rPr>
        <w:t xml:space="preserve">   </w:t>
      </w:r>
      <w:r>
        <w:rPr>
          <w:rFonts w:hint="eastAsia"/>
        </w:rPr>
        <w:t>标准</w:t>
      </w:r>
      <w:bookmarkEnd w:id="87"/>
      <w:bookmarkEnd w:id="88"/>
    </w:p>
    <w:p w14:paraId="3E73F6C9">
      <w:pPr>
        <w:pStyle w:val="5"/>
        <w:spacing w:before="0"/>
        <w:ind w:left="0" w:firstLine="420" w:firstLineChars="200"/>
        <w:contextualSpacing/>
        <w:jc w:val="center"/>
        <w:rPr>
          <w:rFonts w:hint="eastAsia"/>
        </w:rPr>
      </w:pPr>
      <w:r>
        <w:drawing>
          <wp:inline distT="0" distB="0" distL="0" distR="0">
            <wp:extent cx="5410200" cy="7909560"/>
            <wp:effectExtent l="0" t="0" r="0" b="0"/>
            <wp:docPr id="5878998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99814" name="图片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413096" cy="7914040"/>
                    </a:xfrm>
                    <a:prstGeom prst="rect">
                      <a:avLst/>
                    </a:prstGeom>
                    <a:noFill/>
                    <a:ln>
                      <a:noFill/>
                    </a:ln>
                  </pic:spPr>
                </pic:pic>
              </a:graphicData>
            </a:graphic>
          </wp:inline>
        </w:drawing>
      </w:r>
    </w:p>
    <w:p w14:paraId="01CF6134">
      <w:pPr>
        <w:pStyle w:val="5"/>
        <w:spacing w:before="0"/>
        <w:ind w:left="0" w:firstLine="420" w:firstLineChars="200"/>
        <w:contextualSpacing/>
        <w:jc w:val="center"/>
        <w:rPr>
          <w:rFonts w:hint="eastAsia"/>
        </w:rPr>
      </w:pPr>
    </w:p>
    <w:p w14:paraId="0BD0B5C0">
      <w:pPr>
        <w:pStyle w:val="5"/>
        <w:spacing w:before="0"/>
        <w:ind w:left="0" w:firstLine="420" w:firstLineChars="200"/>
        <w:contextualSpacing/>
        <w:rPr>
          <w:rFonts w:hint="eastAsia"/>
        </w:rPr>
      </w:pPr>
      <w:r>
        <w:drawing>
          <wp:inline distT="0" distB="0" distL="0" distR="0">
            <wp:extent cx="5539740" cy="8458200"/>
            <wp:effectExtent l="0" t="0" r="3810" b="0"/>
            <wp:docPr id="130744640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46403"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540289" cy="8459038"/>
                    </a:xfrm>
                    <a:prstGeom prst="rect">
                      <a:avLst/>
                    </a:prstGeom>
                    <a:noFill/>
                    <a:ln>
                      <a:noFill/>
                    </a:ln>
                  </pic:spPr>
                </pic:pic>
              </a:graphicData>
            </a:graphic>
          </wp:inline>
        </w:drawing>
      </w:r>
    </w:p>
    <w:p w14:paraId="60D94085">
      <w:pPr>
        <w:pStyle w:val="5"/>
        <w:spacing w:before="0"/>
        <w:ind w:left="0" w:firstLine="420" w:firstLineChars="200"/>
        <w:contextualSpacing/>
        <w:jc w:val="center"/>
        <w:rPr>
          <w:rFonts w:hint="eastAsia"/>
        </w:rPr>
      </w:pPr>
    </w:p>
    <w:p w14:paraId="098D20E0">
      <w:pPr>
        <w:pStyle w:val="5"/>
        <w:spacing w:before="0"/>
        <w:ind w:left="0" w:firstLine="420" w:firstLineChars="200"/>
        <w:contextualSpacing/>
        <w:jc w:val="both"/>
        <w:rPr>
          <w:rFonts w:hint="eastAsia"/>
        </w:rPr>
      </w:pPr>
      <w:r>
        <w:drawing>
          <wp:inline distT="0" distB="0" distL="0" distR="0">
            <wp:extent cx="5786120" cy="8459470"/>
            <wp:effectExtent l="0" t="0" r="5080" b="0"/>
            <wp:docPr id="12043213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21379"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0632F184">
      <w:pPr>
        <w:pStyle w:val="5"/>
        <w:spacing w:before="0"/>
        <w:ind w:left="0" w:firstLine="420" w:firstLineChars="200"/>
        <w:contextualSpacing/>
        <w:jc w:val="center"/>
        <w:rPr>
          <w:rFonts w:hint="eastAsia"/>
        </w:rPr>
      </w:pPr>
    </w:p>
    <w:p w14:paraId="6B681B02">
      <w:pPr>
        <w:pStyle w:val="5"/>
        <w:spacing w:before="0"/>
        <w:ind w:left="0" w:firstLine="420" w:firstLineChars="200"/>
        <w:contextualSpacing/>
        <w:jc w:val="center"/>
        <w:rPr>
          <w:rFonts w:hint="eastAsia"/>
        </w:rPr>
      </w:pPr>
    </w:p>
    <w:p w14:paraId="13E11590">
      <w:pPr>
        <w:pStyle w:val="5"/>
        <w:spacing w:before="0"/>
        <w:ind w:left="0" w:firstLine="420" w:firstLineChars="200"/>
        <w:contextualSpacing/>
        <w:jc w:val="center"/>
        <w:rPr>
          <w:rFonts w:hint="eastAsia"/>
        </w:rPr>
      </w:pPr>
      <w:r>
        <w:drawing>
          <wp:inline distT="0" distB="0" distL="0" distR="0">
            <wp:extent cx="5786120" cy="8459470"/>
            <wp:effectExtent l="0" t="0" r="5080" b="13970"/>
            <wp:docPr id="7822633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63302"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3D04F647">
      <w:pPr>
        <w:pStyle w:val="5"/>
        <w:spacing w:before="0"/>
        <w:ind w:left="0" w:firstLine="420" w:firstLineChars="200"/>
        <w:contextualSpacing/>
        <w:jc w:val="center"/>
        <w:rPr>
          <w:rFonts w:hint="eastAsia"/>
        </w:rPr>
      </w:pPr>
    </w:p>
    <w:p w14:paraId="0268C7C8">
      <w:pPr>
        <w:pStyle w:val="5"/>
        <w:spacing w:before="0"/>
        <w:ind w:left="0" w:firstLine="420" w:firstLineChars="200"/>
        <w:contextualSpacing/>
        <w:jc w:val="center"/>
        <w:rPr>
          <w:rFonts w:hint="eastAsia"/>
        </w:rPr>
      </w:pPr>
    </w:p>
    <w:p w14:paraId="08C4E9CC">
      <w:pPr>
        <w:pStyle w:val="5"/>
        <w:spacing w:before="0"/>
        <w:ind w:left="0" w:firstLine="420" w:firstLineChars="200"/>
        <w:contextualSpacing/>
        <w:jc w:val="center"/>
        <w:rPr>
          <w:rFonts w:hint="eastAsia"/>
        </w:rPr>
      </w:pPr>
      <w:r>
        <w:drawing>
          <wp:inline distT="0" distB="0" distL="0" distR="0">
            <wp:extent cx="5786120" cy="8459470"/>
            <wp:effectExtent l="0" t="0" r="5080" b="13970"/>
            <wp:docPr id="143859168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91684" name="图片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0549FC0D">
      <w:pPr>
        <w:pStyle w:val="5"/>
        <w:spacing w:before="0"/>
        <w:ind w:left="0" w:firstLine="420" w:firstLineChars="200"/>
        <w:contextualSpacing/>
        <w:jc w:val="center"/>
        <w:rPr>
          <w:rFonts w:hint="eastAsia"/>
        </w:rPr>
      </w:pPr>
    </w:p>
    <w:p w14:paraId="02572707">
      <w:pPr>
        <w:pStyle w:val="5"/>
        <w:spacing w:before="0"/>
        <w:ind w:left="0" w:firstLine="420" w:firstLineChars="200"/>
        <w:contextualSpacing/>
        <w:jc w:val="center"/>
        <w:rPr>
          <w:rFonts w:hint="eastAsia"/>
        </w:rPr>
      </w:pPr>
    </w:p>
    <w:p w14:paraId="6480F77C">
      <w:pPr>
        <w:pStyle w:val="5"/>
        <w:spacing w:before="0"/>
        <w:ind w:left="0" w:firstLine="420" w:firstLineChars="200"/>
        <w:contextualSpacing/>
        <w:jc w:val="center"/>
        <w:rPr>
          <w:rFonts w:hint="eastAsia"/>
        </w:rPr>
      </w:pPr>
      <w:r>
        <w:drawing>
          <wp:inline distT="0" distB="0" distL="0" distR="0">
            <wp:extent cx="5786120" cy="8459470"/>
            <wp:effectExtent l="0" t="0" r="5080" b="13970"/>
            <wp:docPr id="14667298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29886" name="图片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42A32EF9">
      <w:pPr>
        <w:pStyle w:val="5"/>
        <w:spacing w:before="0"/>
        <w:ind w:left="0" w:firstLine="420" w:firstLineChars="200"/>
        <w:contextualSpacing/>
        <w:jc w:val="center"/>
        <w:rPr>
          <w:rFonts w:hint="eastAsia"/>
        </w:rPr>
      </w:pPr>
    </w:p>
    <w:p w14:paraId="094DED56">
      <w:pPr>
        <w:pStyle w:val="5"/>
        <w:spacing w:before="0"/>
        <w:ind w:left="0" w:firstLine="420" w:firstLineChars="200"/>
        <w:contextualSpacing/>
        <w:jc w:val="center"/>
        <w:rPr>
          <w:rFonts w:hint="eastAsia"/>
        </w:rPr>
      </w:pPr>
    </w:p>
    <w:p w14:paraId="0D96BEC8">
      <w:pPr>
        <w:pStyle w:val="5"/>
        <w:spacing w:before="0"/>
        <w:ind w:left="0" w:firstLine="420" w:firstLineChars="200"/>
        <w:contextualSpacing/>
        <w:jc w:val="center"/>
        <w:rPr>
          <w:rFonts w:hint="eastAsia"/>
        </w:rPr>
      </w:pPr>
      <w:r>
        <w:drawing>
          <wp:inline distT="0" distB="0" distL="0" distR="0">
            <wp:extent cx="5786120" cy="8459470"/>
            <wp:effectExtent l="0" t="0" r="5080" b="0"/>
            <wp:docPr id="6918855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85534" name="图片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6B21BD85">
      <w:pPr>
        <w:pStyle w:val="5"/>
        <w:spacing w:before="0"/>
        <w:ind w:left="0" w:firstLine="420" w:firstLineChars="200"/>
        <w:contextualSpacing/>
        <w:jc w:val="center"/>
        <w:rPr>
          <w:rFonts w:hint="eastAsia"/>
        </w:rPr>
      </w:pPr>
    </w:p>
    <w:p w14:paraId="0870805F">
      <w:pPr>
        <w:pStyle w:val="5"/>
        <w:spacing w:before="0"/>
        <w:ind w:left="0" w:firstLine="420" w:firstLineChars="200"/>
        <w:contextualSpacing/>
        <w:jc w:val="center"/>
        <w:rPr>
          <w:rFonts w:hint="eastAsia"/>
        </w:rPr>
      </w:pPr>
    </w:p>
    <w:p w14:paraId="5EF96319">
      <w:pPr>
        <w:pStyle w:val="5"/>
        <w:spacing w:before="0"/>
        <w:ind w:left="0" w:firstLine="420" w:firstLineChars="200"/>
        <w:contextualSpacing/>
        <w:jc w:val="center"/>
        <w:rPr>
          <w:rFonts w:hint="eastAsia"/>
        </w:rPr>
      </w:pPr>
      <w:r>
        <w:rPr>
          <w:rFonts w:hint="eastAsia"/>
        </w:rPr>
        <w:drawing>
          <wp:inline distT="0" distB="0" distL="0" distR="0">
            <wp:extent cx="5786120" cy="8459470"/>
            <wp:effectExtent l="0" t="0" r="5080" b="0"/>
            <wp:docPr id="18445408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081" name="图片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205BA4D4">
      <w:pPr>
        <w:pStyle w:val="5"/>
        <w:spacing w:before="0"/>
        <w:ind w:left="0" w:firstLine="420" w:firstLineChars="200"/>
        <w:contextualSpacing/>
        <w:jc w:val="center"/>
        <w:rPr>
          <w:rFonts w:hint="eastAsia"/>
        </w:rPr>
      </w:pPr>
    </w:p>
    <w:p w14:paraId="76CF1E52">
      <w:pPr>
        <w:pStyle w:val="5"/>
        <w:spacing w:before="0"/>
        <w:ind w:left="0" w:firstLine="420" w:firstLineChars="200"/>
        <w:contextualSpacing/>
        <w:rPr>
          <w:rFonts w:hint="eastAsia"/>
        </w:rPr>
      </w:pPr>
    </w:p>
    <w:p w14:paraId="02CB30AB">
      <w:pPr>
        <w:pStyle w:val="5"/>
        <w:spacing w:before="0"/>
        <w:ind w:left="0" w:firstLine="420" w:firstLineChars="200"/>
        <w:contextualSpacing/>
        <w:rPr>
          <w:rFonts w:hint="eastAsia"/>
        </w:rPr>
        <w:sectPr>
          <w:footerReference r:id="rId6" w:type="default"/>
          <w:pgSz w:w="11911" w:h="16838"/>
          <w:pgMar w:top="1417" w:right="1134" w:bottom="1134" w:left="1134" w:header="737" w:footer="850" w:gutter="0"/>
          <w:cols w:space="0" w:num="1"/>
        </w:sectPr>
      </w:pPr>
    </w:p>
    <w:p w14:paraId="4816D3C8">
      <w:pPr>
        <w:bidi w:val="0"/>
      </w:pPr>
      <w:r>
        <w:drawing>
          <wp:inline distT="0" distB="0" distL="0" distR="0">
            <wp:extent cx="5786120" cy="8459470"/>
            <wp:effectExtent l="0" t="0" r="5080" b="13970"/>
            <wp:docPr id="3790130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13059" name="图片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2EC77A53">
      <w:pPr>
        <w:pStyle w:val="2"/>
      </w:pPr>
    </w:p>
    <w:p w14:paraId="35AC8464">
      <w:pPr>
        <w:bidi w:val="0"/>
      </w:pPr>
      <w:r>
        <w:drawing>
          <wp:inline distT="0" distB="0" distL="0" distR="0">
            <wp:extent cx="5786120" cy="8459470"/>
            <wp:effectExtent l="0" t="0" r="5080" b="0"/>
            <wp:docPr id="8509508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50877" name="图片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786525" cy="8460000"/>
                    </a:xfrm>
                    <a:prstGeom prst="rect">
                      <a:avLst/>
                    </a:prstGeom>
                    <a:noFill/>
                    <a:ln>
                      <a:noFill/>
                    </a:ln>
                  </pic:spPr>
                </pic:pic>
              </a:graphicData>
            </a:graphic>
          </wp:inline>
        </w:drawing>
      </w:r>
    </w:p>
    <w:p w14:paraId="365FB9AF">
      <w:pPr>
        <w:pStyle w:val="2"/>
      </w:pPr>
    </w:p>
    <w:p w14:paraId="116341BF">
      <w:pPr>
        <w:pStyle w:val="2"/>
        <w:sectPr>
          <w:footerReference r:id="rId7" w:type="default"/>
          <w:pgSz w:w="11911" w:h="16838"/>
          <w:pgMar w:top="1417" w:right="1134" w:bottom="1134" w:left="1134" w:header="737" w:footer="850" w:gutter="0"/>
          <w:cols w:space="0" w:num="1"/>
        </w:sectPr>
      </w:pPr>
      <w:bookmarkStart w:id="89" w:name="_Toc200814027"/>
    </w:p>
    <w:p w14:paraId="0BD9D9D6">
      <w:pPr>
        <w:pStyle w:val="2"/>
      </w:pPr>
      <w:bookmarkStart w:id="90" w:name="_Toc14778"/>
      <w:r>
        <w:rPr>
          <w:rFonts w:hint="eastAsia"/>
        </w:rPr>
        <w:t>附件</w:t>
      </w:r>
      <w:bookmarkEnd w:id="89"/>
      <w:r>
        <w:rPr>
          <w:rFonts w:hint="eastAsia"/>
          <w:lang w:val="en-US" w:eastAsia="zh-CN"/>
        </w:rPr>
        <w:t>五</w:t>
      </w:r>
      <w:bookmarkStart w:id="91" w:name="_Toc200814028"/>
      <w:r>
        <w:rPr>
          <w:rFonts w:hint="eastAsia"/>
          <w:lang w:val="en-US" w:eastAsia="zh-CN"/>
        </w:rPr>
        <w:t xml:space="preserve">    </w:t>
      </w:r>
      <w:r>
        <w:rPr>
          <w:rFonts w:hint="eastAsia"/>
        </w:rPr>
        <w:t>证书样板</w:t>
      </w:r>
      <w:bookmarkEnd w:id="90"/>
      <w:bookmarkEnd w:id="91"/>
    </w:p>
    <w:p w14:paraId="3F8693A0">
      <w:pPr>
        <w:bidi w:val="0"/>
        <w:rPr>
          <w:rFonts w:hint="eastAsia"/>
          <w:lang w:eastAsia="zh-CN"/>
        </w:rPr>
      </w:pPr>
      <w:r>
        <w:rPr>
          <w:rFonts w:hint="eastAsia"/>
          <w:lang w:eastAsia="zh-CN"/>
        </w:rPr>
        <w:drawing>
          <wp:inline distT="0" distB="0" distL="114300" distR="114300">
            <wp:extent cx="6119495" cy="8244840"/>
            <wp:effectExtent l="0" t="0" r="6985" b="0"/>
            <wp:docPr id="1" name="图片 1" descr="售后服务-中文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售后服务-中文副本"/>
                    <pic:cNvPicPr>
                      <a:picLocks noChangeAspect="1"/>
                    </pic:cNvPicPr>
                  </pic:nvPicPr>
                  <pic:blipFill>
                    <a:blip r:embed="rId26"/>
                    <a:stretch>
                      <a:fillRect/>
                    </a:stretch>
                  </pic:blipFill>
                  <pic:spPr>
                    <a:xfrm>
                      <a:off x="0" y="0"/>
                      <a:ext cx="6119495" cy="8244840"/>
                    </a:xfrm>
                    <a:prstGeom prst="rect">
                      <a:avLst/>
                    </a:prstGeom>
                  </pic:spPr>
                </pic:pic>
              </a:graphicData>
            </a:graphic>
          </wp:inline>
        </w:drawing>
      </w:r>
    </w:p>
    <w:p w14:paraId="28DA3366">
      <w:pPr>
        <w:pStyle w:val="5"/>
        <w:spacing w:before="0"/>
        <w:ind w:left="0"/>
        <w:contextualSpacing/>
        <w:jc w:val="center"/>
        <w:rPr>
          <w:rFonts w:hint="eastAsia"/>
        </w:rPr>
        <w:sectPr>
          <w:pgSz w:w="11911" w:h="16838"/>
          <w:pgMar w:top="1417" w:right="1134" w:bottom="1134" w:left="1134" w:header="737" w:footer="850" w:gutter="0"/>
          <w:cols w:space="0" w:num="1"/>
        </w:sectPr>
      </w:pPr>
    </w:p>
    <w:p w14:paraId="55F29477">
      <w:pPr>
        <w:pStyle w:val="2"/>
        <w:spacing w:line="300" w:lineRule="auto"/>
        <w:contextualSpacing/>
        <w:jc w:val="both"/>
        <w:rPr>
          <w:spacing w:val="-12"/>
          <w:szCs w:val="24"/>
        </w:rPr>
      </w:pPr>
      <w:bookmarkStart w:id="92" w:name="_Toc200814029"/>
    </w:p>
    <w:p w14:paraId="00FAB5F3">
      <w:pPr>
        <w:pStyle w:val="2"/>
        <w:spacing w:line="300" w:lineRule="auto"/>
        <w:contextualSpacing/>
        <w:jc w:val="both"/>
      </w:pPr>
      <w:bookmarkStart w:id="93" w:name="_Toc12670"/>
      <w:r>
        <w:rPr>
          <w:rFonts w:hint="eastAsia"/>
          <w:spacing w:val="-12"/>
          <w:szCs w:val="24"/>
        </w:rPr>
        <w:t>附件</w:t>
      </w:r>
      <w:bookmarkEnd w:id="92"/>
      <w:r>
        <w:rPr>
          <w:rFonts w:hint="eastAsia"/>
          <w:spacing w:val="-12"/>
          <w:szCs w:val="24"/>
          <w:lang w:val="en-US" w:eastAsia="zh-CN"/>
        </w:rPr>
        <w:t>六</w:t>
      </w:r>
      <w:bookmarkStart w:id="94" w:name="_Toc200814030"/>
      <w:r>
        <w:rPr>
          <w:rFonts w:hint="eastAsia"/>
          <w:spacing w:val="-12"/>
          <w:szCs w:val="24"/>
          <w:lang w:val="en-US" w:eastAsia="zh-CN"/>
        </w:rPr>
        <w:t xml:space="preserve">        </w:t>
      </w:r>
      <w:r>
        <w:rPr>
          <w:rFonts w:hint="eastAsia"/>
        </w:rPr>
        <w:t>机构标识</w:t>
      </w:r>
      <w:bookmarkEnd w:id="93"/>
      <w:bookmarkEnd w:id="94"/>
    </w:p>
    <w:p w14:paraId="2D22DB15">
      <w:pPr>
        <w:pStyle w:val="2"/>
        <w:spacing w:line="300" w:lineRule="auto"/>
        <w:contextualSpacing/>
        <w:jc w:val="center"/>
        <w:rPr>
          <w:spacing w:val="-12"/>
          <w:szCs w:val="24"/>
        </w:rPr>
      </w:pPr>
    </w:p>
    <w:p w14:paraId="2D3B8A20">
      <w:pPr>
        <w:pStyle w:val="2"/>
        <w:spacing w:line="300" w:lineRule="auto"/>
        <w:contextualSpacing/>
        <w:jc w:val="center"/>
        <w:rPr>
          <w:spacing w:val="-12"/>
          <w:szCs w:val="24"/>
        </w:rPr>
      </w:pPr>
    </w:p>
    <w:p w14:paraId="602EB644">
      <w:pPr>
        <w:pStyle w:val="2"/>
        <w:spacing w:line="300" w:lineRule="auto"/>
        <w:contextualSpacing/>
        <w:jc w:val="center"/>
        <w:rPr>
          <w:spacing w:val="-12"/>
          <w:szCs w:val="24"/>
        </w:rPr>
      </w:pPr>
    </w:p>
    <w:p w14:paraId="7B133F94">
      <w:pPr>
        <w:bidi w:val="0"/>
        <w:jc w:val="center"/>
        <w:rPr>
          <w:rFonts w:hint="eastAsia"/>
        </w:rPr>
      </w:pPr>
      <w:r>
        <w:drawing>
          <wp:inline distT="0" distB="0" distL="0" distR="0">
            <wp:extent cx="2959735" cy="2879725"/>
            <wp:effectExtent l="0" t="0" r="12065" b="635"/>
            <wp:docPr id="4893444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44418" name="图片 5"/>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959735" cy="2879725"/>
                    </a:xfrm>
                    <a:prstGeom prst="rect">
                      <a:avLst/>
                    </a:prstGeom>
                    <a:noFill/>
                    <a:ln>
                      <a:noFill/>
                    </a:ln>
                  </pic:spPr>
                </pic:pic>
              </a:graphicData>
            </a:graphic>
          </wp:inline>
        </w:drawing>
      </w:r>
    </w:p>
    <w:sectPr>
      <w:pgSz w:w="11911" w:h="16838"/>
      <w:pgMar w:top="1417" w:right="1134" w:bottom="1134" w:left="1134" w:header="737" w:footer="85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CE15">
    <w:pPr>
      <w:pStyle w:val="5"/>
      <w:spacing w:before="0" w:line="14" w:lineRule="auto"/>
      <w:ind w:left="0"/>
      <w:rPr>
        <w:rFonts w:hint="eastAsia"/>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61F0">
    <w:pPr>
      <w:pStyle w:val="5"/>
      <w:spacing w:before="0" w:line="14" w:lineRule="auto"/>
      <w:ind w:left="0"/>
      <w:rPr>
        <w:rFonts w:hint="eastAsia"/>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2861310</wp:posOffset>
              </wp:positionH>
              <wp:positionV relativeFrom="paragraph">
                <wp:posOffset>-635</wp:posOffset>
              </wp:positionV>
              <wp:extent cx="845820" cy="1828800"/>
              <wp:effectExtent l="0" t="0" r="11430" b="0"/>
              <wp:wrapNone/>
              <wp:docPr id="34" name="文本框 34"/>
              <wp:cNvGraphicFramePr/>
              <a:graphic xmlns:a="http://schemas.openxmlformats.org/drawingml/2006/main">
                <a:graphicData uri="http://schemas.microsoft.com/office/word/2010/wordprocessingShape">
                  <wps:wsp>
                    <wps:cNvSpPr txBox="1"/>
                    <wps:spPr>
                      <a:xfrm>
                        <a:off x="0" y="0"/>
                        <a:ext cx="84582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C184A2">
                          <w:pPr>
                            <w:pStyle w:val="7"/>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5.3pt;margin-top:-0.05pt;height:144pt;width:66.6pt;mso-position-horizontal-relative:margin;z-index:251660288;mso-width-relative:page;mso-height-relative:page;" filled="f" stroked="f" coordsize="21600,21600" o:gfxdata="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3ebR3YAAAACQEAAA8AAAAAAAAAAQAgAAAAIgAAAGRycy9kb3ducmV2Lnht&#10;bFBLAQIUABQAAAAIAIdO4kDNDv4nMgIAAFgEAAAOAAAAAAAAAAEAIAAAACcBAABkcnMvZTJvRG9j&#10;LnhtbFBLBQYAAAAABgAGAFkBAADLBQAAAAA=&#10;">
              <v:fill on="f" focussize="0,0"/>
              <v:stroke on="f" weight="0.5pt"/>
              <v:imagedata o:title=""/>
              <o:lock v:ext="edit" aspectratio="f"/>
              <v:textbox inset="0mm,0mm,0mm,0mm" style="mso-fit-shape-to-text:t;">
                <w:txbxContent>
                  <w:p w14:paraId="0DC184A2">
                    <w:pPr>
                      <w:pStyle w:val="7"/>
                      <w:rPr>
                        <w:rFonts w:hint="eastAsia"/>
                      </w:rPr>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45DBD">
    <w:pPr>
      <w:pStyle w:val="5"/>
      <w:spacing w:before="0" w:line="14" w:lineRule="auto"/>
      <w:ind w:left="0"/>
      <w:rPr>
        <w:rFonts w:hint="eastAsia"/>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B403A">
                          <w:pPr>
                            <w:pStyle w:val="7"/>
                            <w:rPr>
                              <w:rFonts w:hint="eastAsia"/>
                            </w:rPr>
                          </w:pPr>
                          <w:r>
                            <w:t xml:space="preserve">第 </w:t>
                          </w:r>
                          <w:r>
                            <w:fldChar w:fldCharType="begin"/>
                          </w:r>
                          <w:r>
                            <w:instrText xml:space="preserve"> PAGE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431B403A">
                    <w:pPr>
                      <w:pStyle w:val="7"/>
                      <w:rPr>
                        <w:rFonts w:hint="eastAsia"/>
                      </w:rPr>
                    </w:pPr>
                    <w:r>
                      <w:t xml:space="preserve">第 </w:t>
                    </w:r>
                    <w:r>
                      <w:fldChar w:fldCharType="begin"/>
                    </w:r>
                    <w:r>
                      <w:instrText xml:space="preserve"> PAGE  \* MERGEFORMAT </w:instrText>
                    </w:r>
                    <w:r>
                      <w:fldChar w:fldCharType="separate"/>
                    </w:r>
                    <w:r>
                      <w:t>17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C88FD">
    <w:pPr>
      <w:pStyle w:val="5"/>
      <w:spacing w:before="0" w:line="14" w:lineRule="auto"/>
      <w:ind w:left="0"/>
      <w:rPr>
        <w:rFonts w:hint="eastAsia"/>
        <w:sz w:val="2"/>
      </w:rPr>
    </w:pPr>
    <w:r>
      <w:rPr>
        <w:sz w:val="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30A9A">
                          <w:pPr>
                            <w:pStyle w:val="7"/>
                            <w:rPr>
                              <w:rFonts w:hint="eastAsia"/>
                            </w:rPr>
                          </w:pPr>
                          <w:r>
                            <w:t xml:space="preserve">第 </w:t>
                          </w:r>
                          <w:r>
                            <w:fldChar w:fldCharType="begin"/>
                          </w:r>
                          <w:r>
                            <w:instrText xml:space="preserve"> PAGE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2130A9A">
                    <w:pPr>
                      <w:pStyle w:val="7"/>
                      <w:rPr>
                        <w:rFonts w:hint="eastAsia"/>
                      </w:rPr>
                    </w:pPr>
                    <w:r>
                      <w:t xml:space="preserve">第 </w:t>
                    </w:r>
                    <w:r>
                      <w:fldChar w:fldCharType="begin"/>
                    </w:r>
                    <w:r>
                      <w:instrText xml:space="preserve"> PAGE  \* MERGEFORMAT </w:instrText>
                    </w:r>
                    <w:r>
                      <w:fldChar w:fldCharType="separate"/>
                    </w:r>
                    <w:r>
                      <w:t>18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A2919">
    <w:pPr>
      <w:pStyle w:val="8"/>
      <w:jc w:val="both"/>
      <w:rPr>
        <w:rFonts w:hint="eastAsia"/>
        <w:u w:val="double"/>
      </w:rPr>
    </w:pPr>
    <w:r>
      <w:rPr>
        <w:rFonts w:hint="eastAsia"/>
        <w:b/>
        <w:sz w:val="28"/>
        <w:szCs w:val="28"/>
      </w:rPr>
      <w:drawing>
        <wp:anchor distT="0" distB="0" distL="114300" distR="114300" simplePos="0" relativeHeight="251659264" behindDoc="0" locked="0" layoutInCell="1" allowOverlap="1">
          <wp:simplePos x="0" y="0"/>
          <wp:positionH relativeFrom="column">
            <wp:posOffset>43180</wp:posOffset>
          </wp:positionH>
          <wp:positionV relativeFrom="paragraph">
            <wp:posOffset>-36830</wp:posOffset>
          </wp:positionV>
          <wp:extent cx="495935" cy="449580"/>
          <wp:effectExtent l="0" t="0" r="6985" b="7620"/>
          <wp:wrapNone/>
          <wp:docPr id="2" name="图片 4" descr="168636557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1686365572570"/>
                  <pic:cNvPicPr>
                    <a:picLocks noChangeAspect="1"/>
                  </pic:cNvPicPr>
                </pic:nvPicPr>
                <pic:blipFill>
                  <a:blip r:embed="rId1"/>
                  <a:stretch>
                    <a:fillRect/>
                  </a:stretch>
                </pic:blipFill>
                <pic:spPr>
                  <a:xfrm>
                    <a:off x="0" y="0"/>
                    <a:ext cx="495935" cy="449580"/>
                  </a:xfrm>
                  <a:prstGeom prst="rect">
                    <a:avLst/>
                  </a:prstGeom>
                  <a:noFill/>
                  <a:ln>
                    <a:noFill/>
                  </a:ln>
                </pic:spPr>
              </pic:pic>
            </a:graphicData>
          </a:graphic>
        </wp:anchor>
      </w:drawing>
    </w:r>
  </w:p>
  <w:p w14:paraId="28D7657F">
    <w:pPr>
      <w:pStyle w:val="8"/>
      <w:pBdr>
        <w:bottom w:val="single" w:color="auto" w:sz="4" w:space="0"/>
      </w:pBdr>
      <w:ind w:firstLine="900" w:firstLineChars="500"/>
      <w:jc w:val="left"/>
      <w:rPr>
        <w:rFonts w:hint="eastAsia"/>
      </w:rPr>
    </w:pPr>
    <w:r>
      <w:rPr>
        <w:rFonts w:hint="eastAsia"/>
      </w:rPr>
      <w:t xml:space="preserve">富利汇认证（宁夏）有限公司                                                  商品售后服务认证规则                                </w:t>
    </w:r>
  </w:p>
  <w:p w14:paraId="6A5D8290">
    <w:pPr>
      <w:pStyle w:val="8"/>
      <w:pBdr>
        <w:bottom w:val="single" w:color="auto" w:sz="4" w:space="0"/>
      </w:pBdr>
      <w:jc w:val="left"/>
      <w:rPr>
        <w:rFonts w:hint="eastAsia"/>
        <w:u w:val="double"/>
      </w:rPr>
    </w:pPr>
  </w:p>
  <w:p w14:paraId="2066CED1">
    <w:pPr>
      <w:pStyle w:val="8"/>
      <w:pBdr>
        <w:bottom w:val="none" w:color="auto" w:sz="0"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B64A6A"/>
    <w:multiLevelType w:val="singleLevel"/>
    <w:tmpl w:val="A9B64A6A"/>
    <w:lvl w:ilvl="0" w:tentative="0">
      <w:start w:val="1"/>
      <w:numFmt w:val="decimal"/>
      <w:suff w:val="nothing"/>
      <w:lvlText w:val="%1）"/>
      <w:lvlJc w:val="left"/>
      <w:pPr>
        <w:ind w:left="0" w:firstLine="454"/>
      </w:pPr>
      <w:rPr>
        <w:rFonts w:hint="default"/>
        <w:sz w:val="21"/>
      </w:rPr>
    </w:lvl>
  </w:abstractNum>
  <w:abstractNum w:abstractNumId="1">
    <w:nsid w:val="CC3F8E5C"/>
    <w:multiLevelType w:val="singleLevel"/>
    <w:tmpl w:val="CC3F8E5C"/>
    <w:lvl w:ilvl="0" w:tentative="0">
      <w:start w:val="1"/>
      <w:numFmt w:val="decimal"/>
      <w:suff w:val="nothing"/>
      <w:lvlText w:val="%1）"/>
      <w:lvlJc w:val="left"/>
      <w:pPr>
        <w:ind w:left="0" w:firstLine="454"/>
      </w:pPr>
      <w:rPr>
        <w:rFonts w:hint="default"/>
        <w:sz w:val="21"/>
      </w:rPr>
    </w:lvl>
  </w:abstractNum>
  <w:abstractNum w:abstractNumId="2">
    <w:nsid w:val="D7A94D52"/>
    <w:multiLevelType w:val="singleLevel"/>
    <w:tmpl w:val="D7A94D52"/>
    <w:lvl w:ilvl="0" w:tentative="0">
      <w:start w:val="1"/>
      <w:numFmt w:val="decimalEnclosedCircleChinese"/>
      <w:suff w:val="nothing"/>
      <w:lvlText w:val="%1　"/>
      <w:lvlJc w:val="left"/>
      <w:pPr>
        <w:ind w:left="0" w:firstLine="454"/>
      </w:pPr>
      <w:rPr>
        <w:rFonts w:hint="eastAsia"/>
        <w:sz w:val="21"/>
      </w:rPr>
    </w:lvl>
  </w:abstractNum>
  <w:abstractNum w:abstractNumId="3">
    <w:nsid w:val="E03B0FC7"/>
    <w:multiLevelType w:val="singleLevel"/>
    <w:tmpl w:val="E03B0FC7"/>
    <w:lvl w:ilvl="0" w:tentative="0">
      <w:start w:val="1"/>
      <w:numFmt w:val="decimal"/>
      <w:suff w:val="space"/>
      <w:lvlText w:val="%1）"/>
      <w:lvlJc w:val="left"/>
      <w:pPr>
        <w:ind w:left="0" w:firstLine="454"/>
      </w:pPr>
      <w:rPr>
        <w:rFonts w:hint="default"/>
        <w:sz w:val="21"/>
      </w:rPr>
    </w:lvl>
  </w:abstractNum>
  <w:abstractNum w:abstractNumId="4">
    <w:nsid w:val="E0BFDF85"/>
    <w:multiLevelType w:val="singleLevel"/>
    <w:tmpl w:val="E0BFDF85"/>
    <w:lvl w:ilvl="0" w:tentative="0">
      <w:start w:val="1"/>
      <w:numFmt w:val="decimal"/>
      <w:suff w:val="nothing"/>
      <w:lvlText w:val="%1）"/>
      <w:lvlJc w:val="left"/>
      <w:pPr>
        <w:ind w:left="0" w:firstLine="454"/>
      </w:pPr>
      <w:rPr>
        <w:rFonts w:hint="default"/>
        <w:sz w:val="21"/>
      </w:rPr>
    </w:lvl>
  </w:abstractNum>
  <w:abstractNum w:abstractNumId="5">
    <w:nsid w:val="E438DD77"/>
    <w:multiLevelType w:val="singleLevel"/>
    <w:tmpl w:val="E438DD77"/>
    <w:lvl w:ilvl="0" w:tentative="0">
      <w:start w:val="1"/>
      <w:numFmt w:val="decimal"/>
      <w:suff w:val="nothing"/>
      <w:lvlText w:val="%1）"/>
      <w:lvlJc w:val="left"/>
      <w:pPr>
        <w:ind w:left="0" w:firstLine="454"/>
      </w:pPr>
      <w:rPr>
        <w:rFonts w:hint="default"/>
        <w:sz w:val="21"/>
      </w:rPr>
    </w:lvl>
  </w:abstractNum>
  <w:abstractNum w:abstractNumId="6">
    <w:nsid w:val="F76D98EB"/>
    <w:multiLevelType w:val="multilevel"/>
    <w:tmpl w:val="F76D98EB"/>
    <w:lvl w:ilvl="0" w:tentative="0">
      <w:start w:val="1"/>
      <w:numFmt w:val="decimal"/>
      <w:suff w:val="nothing"/>
      <w:lvlText w:val="6.2.2.%1"/>
      <w:lvlJc w:val="left"/>
      <w:pPr>
        <w:ind w:left="0" w:firstLine="0"/>
      </w:pPr>
      <w:rPr>
        <w:rFonts w:hint="default"/>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0B63B17A"/>
    <w:multiLevelType w:val="singleLevel"/>
    <w:tmpl w:val="0B63B17A"/>
    <w:lvl w:ilvl="0" w:tentative="0">
      <w:start w:val="1"/>
      <w:numFmt w:val="decimal"/>
      <w:suff w:val="nothing"/>
      <w:lvlText w:val="%1）"/>
      <w:lvlJc w:val="left"/>
      <w:pPr>
        <w:ind w:left="0" w:firstLine="454"/>
      </w:pPr>
      <w:rPr>
        <w:rFonts w:hint="default"/>
        <w:sz w:val="21"/>
      </w:rPr>
    </w:lvl>
  </w:abstractNum>
  <w:abstractNum w:abstractNumId="8">
    <w:nsid w:val="0B7540B0"/>
    <w:multiLevelType w:val="singleLevel"/>
    <w:tmpl w:val="0B7540B0"/>
    <w:lvl w:ilvl="0" w:tentative="0">
      <w:start w:val="1"/>
      <w:numFmt w:val="decimal"/>
      <w:suff w:val="nothing"/>
      <w:lvlText w:val="%1）"/>
      <w:lvlJc w:val="left"/>
      <w:pPr>
        <w:ind w:left="0" w:firstLine="454"/>
      </w:pPr>
      <w:rPr>
        <w:rFonts w:hint="default"/>
      </w:rPr>
    </w:lvl>
  </w:abstractNum>
  <w:abstractNum w:abstractNumId="9">
    <w:nsid w:val="1C3516FC"/>
    <w:multiLevelType w:val="singleLevel"/>
    <w:tmpl w:val="1C3516FC"/>
    <w:lvl w:ilvl="0" w:tentative="0">
      <w:start w:val="1"/>
      <w:numFmt w:val="decimal"/>
      <w:suff w:val="nothing"/>
      <w:lvlText w:val="%1）"/>
      <w:lvlJc w:val="left"/>
      <w:pPr>
        <w:ind w:left="0" w:firstLine="454"/>
      </w:pPr>
      <w:rPr>
        <w:rFonts w:hint="default"/>
        <w:sz w:val="21"/>
      </w:rPr>
    </w:lvl>
  </w:abstractNum>
  <w:abstractNum w:abstractNumId="10">
    <w:nsid w:val="28F831D4"/>
    <w:multiLevelType w:val="singleLevel"/>
    <w:tmpl w:val="28F831D4"/>
    <w:lvl w:ilvl="0" w:tentative="0">
      <w:start w:val="1"/>
      <w:numFmt w:val="decimal"/>
      <w:suff w:val="nothing"/>
      <w:lvlText w:val="%1）"/>
      <w:lvlJc w:val="left"/>
      <w:pPr>
        <w:ind w:left="0" w:firstLine="454"/>
      </w:pPr>
      <w:rPr>
        <w:rFonts w:hint="default"/>
      </w:rPr>
    </w:lvl>
  </w:abstractNum>
  <w:abstractNum w:abstractNumId="11">
    <w:nsid w:val="33AB2320"/>
    <w:multiLevelType w:val="multilevel"/>
    <w:tmpl w:val="33AB2320"/>
    <w:lvl w:ilvl="0" w:tentative="0">
      <w:start w:val="1"/>
      <w:numFmt w:val="decimal"/>
      <w:suff w:val="space"/>
      <w:lvlText w:val="6.3.%1"/>
      <w:lvlJc w:val="left"/>
      <w:pPr>
        <w:ind w:left="0" w:firstLine="0"/>
      </w:pPr>
      <w:rPr>
        <w:rFonts w:hint="default"/>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3D151B71"/>
    <w:multiLevelType w:val="singleLevel"/>
    <w:tmpl w:val="3D151B71"/>
    <w:lvl w:ilvl="0" w:tentative="0">
      <w:start w:val="1"/>
      <w:numFmt w:val="decimal"/>
      <w:suff w:val="nothing"/>
      <w:lvlText w:val="%1）"/>
      <w:lvlJc w:val="left"/>
      <w:pPr>
        <w:ind w:left="0" w:firstLine="454"/>
      </w:pPr>
      <w:rPr>
        <w:rFonts w:hint="default"/>
      </w:rPr>
    </w:lvl>
  </w:abstractNum>
  <w:abstractNum w:abstractNumId="13">
    <w:nsid w:val="3ECBC335"/>
    <w:multiLevelType w:val="multilevel"/>
    <w:tmpl w:val="3ECBC335"/>
    <w:lvl w:ilvl="0" w:tentative="0">
      <w:start w:val="6"/>
      <w:numFmt w:val="decimal"/>
      <w:lvlText w:val="%1"/>
      <w:lvlJc w:val="left"/>
      <w:pPr>
        <w:ind w:left="434" w:hanging="204"/>
      </w:pPr>
      <w:rPr>
        <w:rFonts w:hint="default" w:ascii="宋体" w:hAnsi="宋体" w:eastAsia="宋体" w:cs="宋体"/>
        <w:b w:val="0"/>
        <w:bCs w:val="0"/>
        <w:i w:val="0"/>
        <w:iCs w:val="0"/>
        <w:spacing w:val="0"/>
        <w:w w:val="99"/>
        <w:sz w:val="21"/>
        <w:szCs w:val="21"/>
        <w:lang w:val="en-US" w:eastAsia="zh-CN" w:bidi="ar-SA"/>
      </w:rPr>
    </w:lvl>
    <w:lvl w:ilvl="1" w:tentative="0">
      <w:start w:val="1"/>
      <w:numFmt w:val="decimal"/>
      <w:lvlText w:val="%1.%2"/>
      <w:lvlJc w:val="left"/>
      <w:pPr>
        <w:ind w:left="640" w:hanging="411"/>
      </w:pPr>
      <w:rPr>
        <w:rFonts w:hint="default" w:ascii="宋体" w:hAnsi="宋体" w:eastAsia="宋体" w:cs="宋体"/>
        <w:b w:val="0"/>
        <w:bCs w:val="0"/>
        <w:i w:val="0"/>
        <w:iCs w:val="0"/>
        <w:spacing w:val="-2"/>
        <w:w w:val="99"/>
        <w:sz w:val="21"/>
        <w:szCs w:val="21"/>
        <w:lang w:val="en-US" w:eastAsia="zh-CN" w:bidi="ar-SA"/>
      </w:rPr>
    </w:lvl>
    <w:lvl w:ilvl="2" w:tentative="0">
      <w:start w:val="1"/>
      <w:numFmt w:val="decimal"/>
      <w:suff w:val="nothing"/>
      <w:lvlText w:val="%1.%2.%3"/>
      <w:lvlJc w:val="left"/>
      <w:pPr>
        <w:ind w:left="0" w:firstLine="0"/>
      </w:pPr>
      <w:rPr>
        <w:rFonts w:hint="default" w:ascii="Times New Roman" w:hAnsi="Times New Roman" w:eastAsia="宋体" w:cs="宋体"/>
        <w:b w:val="0"/>
        <w:bCs w:val="0"/>
        <w:i w:val="0"/>
        <w:iCs w:val="0"/>
        <w:spacing w:val="0"/>
        <w:w w:val="100"/>
        <w:sz w:val="21"/>
        <w:szCs w:val="21"/>
        <w:lang w:val="en-US" w:eastAsia="zh-CN" w:bidi="ar-SA"/>
      </w:rPr>
    </w:lvl>
    <w:lvl w:ilvl="3" w:tentative="0">
      <w:start w:val="1"/>
      <w:numFmt w:val="decimal"/>
      <w:lvlText w:val="%1.%2.%3.%4"/>
      <w:lvlJc w:val="left"/>
      <w:pPr>
        <w:ind w:left="1487" w:hanging="838"/>
      </w:pPr>
      <w:rPr>
        <w:rFonts w:hint="default" w:ascii="宋体" w:hAnsi="宋体" w:eastAsia="宋体" w:cs="宋体"/>
        <w:b w:val="0"/>
        <w:bCs w:val="0"/>
        <w:i w:val="0"/>
        <w:iCs w:val="0"/>
        <w:spacing w:val="0"/>
        <w:w w:val="99"/>
        <w:sz w:val="21"/>
        <w:szCs w:val="21"/>
        <w:lang w:val="en-US" w:eastAsia="zh-CN" w:bidi="ar-SA"/>
      </w:rPr>
    </w:lvl>
    <w:lvl w:ilvl="4" w:tentative="0">
      <w:start w:val="0"/>
      <w:numFmt w:val="bullet"/>
      <w:lvlText w:val="•"/>
      <w:lvlJc w:val="left"/>
      <w:pPr>
        <w:ind w:left="840" w:hanging="838"/>
      </w:pPr>
      <w:rPr>
        <w:rFonts w:hint="default"/>
        <w:lang w:val="en-US" w:eastAsia="zh-CN" w:bidi="ar-SA"/>
      </w:rPr>
    </w:lvl>
    <w:lvl w:ilvl="5" w:tentative="0">
      <w:start w:val="0"/>
      <w:numFmt w:val="bullet"/>
      <w:lvlText w:val="•"/>
      <w:lvlJc w:val="left"/>
      <w:pPr>
        <w:ind w:left="860" w:hanging="838"/>
      </w:pPr>
      <w:rPr>
        <w:rFonts w:hint="default"/>
        <w:lang w:val="en-US" w:eastAsia="zh-CN" w:bidi="ar-SA"/>
      </w:rPr>
    </w:lvl>
    <w:lvl w:ilvl="6" w:tentative="0">
      <w:start w:val="0"/>
      <w:numFmt w:val="bullet"/>
      <w:lvlText w:val="•"/>
      <w:lvlJc w:val="left"/>
      <w:pPr>
        <w:ind w:left="1480" w:hanging="838"/>
      </w:pPr>
      <w:rPr>
        <w:rFonts w:hint="default"/>
        <w:lang w:val="en-US" w:eastAsia="zh-CN" w:bidi="ar-SA"/>
      </w:rPr>
    </w:lvl>
    <w:lvl w:ilvl="7" w:tentative="0">
      <w:start w:val="0"/>
      <w:numFmt w:val="bullet"/>
      <w:lvlText w:val="•"/>
      <w:lvlJc w:val="left"/>
      <w:pPr>
        <w:ind w:left="1500" w:hanging="838"/>
      </w:pPr>
      <w:rPr>
        <w:rFonts w:hint="default"/>
        <w:lang w:val="en-US" w:eastAsia="zh-CN" w:bidi="ar-SA"/>
      </w:rPr>
    </w:lvl>
    <w:lvl w:ilvl="8" w:tentative="0">
      <w:start w:val="0"/>
      <w:numFmt w:val="bullet"/>
      <w:lvlText w:val="•"/>
      <w:lvlJc w:val="left"/>
      <w:pPr>
        <w:ind w:left="4543" w:hanging="838"/>
      </w:pPr>
      <w:rPr>
        <w:rFonts w:hint="default"/>
        <w:lang w:val="en-US" w:eastAsia="zh-CN" w:bidi="ar-SA"/>
      </w:rPr>
    </w:lvl>
  </w:abstractNum>
  <w:abstractNum w:abstractNumId="14">
    <w:nsid w:val="411FB0E4"/>
    <w:multiLevelType w:val="singleLevel"/>
    <w:tmpl w:val="411FB0E4"/>
    <w:lvl w:ilvl="0" w:tentative="0">
      <w:start w:val="1"/>
      <w:numFmt w:val="decimal"/>
      <w:suff w:val="nothing"/>
      <w:lvlText w:val="%1）"/>
      <w:lvlJc w:val="left"/>
      <w:pPr>
        <w:ind w:left="0" w:firstLine="454"/>
      </w:pPr>
      <w:rPr>
        <w:rFonts w:hint="default"/>
        <w:sz w:val="21"/>
      </w:rPr>
    </w:lvl>
  </w:abstractNum>
  <w:abstractNum w:abstractNumId="15">
    <w:nsid w:val="50B9F53B"/>
    <w:multiLevelType w:val="singleLevel"/>
    <w:tmpl w:val="50B9F53B"/>
    <w:lvl w:ilvl="0" w:tentative="0">
      <w:start w:val="1"/>
      <w:numFmt w:val="decimal"/>
      <w:suff w:val="nothing"/>
      <w:lvlText w:val="%1）"/>
      <w:lvlJc w:val="left"/>
      <w:pPr>
        <w:ind w:left="425" w:firstLine="29"/>
      </w:pPr>
      <w:rPr>
        <w:rFonts w:hint="default"/>
        <w:sz w:val="21"/>
      </w:rPr>
    </w:lvl>
  </w:abstractNum>
  <w:abstractNum w:abstractNumId="16">
    <w:nsid w:val="57BD41AD"/>
    <w:multiLevelType w:val="singleLevel"/>
    <w:tmpl w:val="57BD41AD"/>
    <w:lvl w:ilvl="0" w:tentative="0">
      <w:start w:val="1"/>
      <w:numFmt w:val="decimal"/>
      <w:suff w:val="nothing"/>
      <w:lvlText w:val="%1）"/>
      <w:lvlJc w:val="left"/>
      <w:pPr>
        <w:ind w:left="0" w:firstLine="454"/>
      </w:pPr>
      <w:rPr>
        <w:rFonts w:hint="default"/>
      </w:rPr>
    </w:lvl>
  </w:abstractNum>
  <w:abstractNum w:abstractNumId="17">
    <w:nsid w:val="5F372F0C"/>
    <w:multiLevelType w:val="multilevel"/>
    <w:tmpl w:val="5F372F0C"/>
    <w:lvl w:ilvl="0" w:tentative="0">
      <w:start w:val="1"/>
      <w:numFmt w:val="decimal"/>
      <w:suff w:val="nothing"/>
      <w:lvlText w:val="6.2.%1"/>
      <w:lvlJc w:val="left"/>
      <w:pPr>
        <w:ind w:left="567" w:hanging="567"/>
      </w:pPr>
      <w:rPr>
        <w:rFonts w:hint="default"/>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8">
    <w:nsid w:val="64A7C27C"/>
    <w:multiLevelType w:val="singleLevel"/>
    <w:tmpl w:val="64A7C27C"/>
    <w:lvl w:ilvl="0" w:tentative="0">
      <w:start w:val="1"/>
      <w:numFmt w:val="decimal"/>
      <w:suff w:val="nothing"/>
      <w:lvlText w:val="%1）"/>
      <w:lvlJc w:val="left"/>
      <w:pPr>
        <w:ind w:left="425" w:firstLine="29"/>
      </w:pPr>
      <w:rPr>
        <w:rFonts w:hint="default"/>
        <w:sz w:val="21"/>
      </w:rPr>
    </w:lvl>
  </w:abstractNum>
  <w:abstractNum w:abstractNumId="19">
    <w:nsid w:val="65773A0F"/>
    <w:multiLevelType w:val="multilevel"/>
    <w:tmpl w:val="65773A0F"/>
    <w:lvl w:ilvl="0" w:tentative="0">
      <w:start w:val="1"/>
      <w:numFmt w:val="decimal"/>
      <w:suff w:val="space"/>
      <w:lvlText w:val="%1"/>
      <w:lvlJc w:val="left"/>
      <w:pPr>
        <w:ind w:left="440" w:hanging="440"/>
      </w:pPr>
      <w:rPr>
        <w:rFonts w:hint="eastAsia"/>
      </w:rPr>
    </w:lvl>
    <w:lvl w:ilvl="1" w:tentative="0">
      <w:start w:val="1"/>
      <w:numFmt w:val="decimal"/>
      <w:pStyle w:val="16"/>
      <w:isLgl/>
      <w:suff w:val="space"/>
      <w:lvlText w:val="%1.%2"/>
      <w:lvlJc w:val="left"/>
      <w:pPr>
        <w:ind w:left="0" w:firstLine="227"/>
      </w:pPr>
      <w:rPr>
        <w:rFonts w:hint="default"/>
        <w:b w:val="0"/>
        <w:bCs w:val="0"/>
        <w:sz w:val="21"/>
      </w:rPr>
    </w:lvl>
    <w:lvl w:ilvl="2" w:tentative="0">
      <w:start w:val="1"/>
      <w:numFmt w:val="decimal"/>
      <w:isLgl/>
      <w:suff w:val="space"/>
      <w:lvlText w:val="%1.%2.%3"/>
      <w:lvlJc w:val="left"/>
      <w:pPr>
        <w:ind w:left="1560" w:hanging="720"/>
      </w:pPr>
      <w:rPr>
        <w:rFonts w:hint="default"/>
      </w:rPr>
    </w:lvl>
    <w:lvl w:ilvl="3" w:tentative="0">
      <w:start w:val="1"/>
      <w:numFmt w:val="decimal"/>
      <w:isLgl/>
      <w:suff w:val="space"/>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20">
    <w:nsid w:val="6B2A358D"/>
    <w:multiLevelType w:val="singleLevel"/>
    <w:tmpl w:val="6B2A358D"/>
    <w:lvl w:ilvl="0" w:tentative="0">
      <w:start w:val="1"/>
      <w:numFmt w:val="decimal"/>
      <w:suff w:val="nothing"/>
      <w:lvlText w:val="%1）"/>
      <w:lvlJc w:val="left"/>
      <w:pPr>
        <w:ind w:left="0" w:firstLine="454"/>
      </w:pPr>
      <w:rPr>
        <w:rFonts w:hint="default"/>
        <w:sz w:val="21"/>
      </w:rPr>
    </w:lvl>
  </w:abstractNum>
  <w:abstractNum w:abstractNumId="21">
    <w:nsid w:val="6C5006BE"/>
    <w:multiLevelType w:val="singleLevel"/>
    <w:tmpl w:val="6C5006BE"/>
    <w:lvl w:ilvl="0" w:tentative="0">
      <w:start w:val="1"/>
      <w:numFmt w:val="decimal"/>
      <w:suff w:val="nothing"/>
      <w:lvlText w:val="%1）"/>
      <w:lvlJc w:val="left"/>
      <w:pPr>
        <w:ind w:left="0" w:firstLine="454"/>
      </w:pPr>
      <w:rPr>
        <w:rFonts w:hint="default"/>
        <w:sz w:val="21"/>
      </w:rPr>
    </w:lvl>
  </w:abstractNum>
  <w:num w:numId="1">
    <w:abstractNumId w:val="19"/>
  </w:num>
  <w:num w:numId="2">
    <w:abstractNumId w:val="13"/>
  </w:num>
  <w:num w:numId="3">
    <w:abstractNumId w:val="10"/>
  </w:num>
  <w:num w:numId="4">
    <w:abstractNumId w:val="17"/>
  </w:num>
  <w:num w:numId="5">
    <w:abstractNumId w:val="8"/>
  </w:num>
  <w:num w:numId="6">
    <w:abstractNumId w:val="16"/>
  </w:num>
  <w:num w:numId="7">
    <w:abstractNumId w:val="12"/>
  </w:num>
  <w:num w:numId="8">
    <w:abstractNumId w:val="6"/>
  </w:num>
  <w:num w:numId="9">
    <w:abstractNumId w:val="11"/>
  </w:num>
  <w:num w:numId="10">
    <w:abstractNumId w:val="18"/>
  </w:num>
  <w:num w:numId="11">
    <w:abstractNumId w:val="15"/>
  </w:num>
  <w:num w:numId="12">
    <w:abstractNumId w:val="9"/>
  </w:num>
  <w:num w:numId="13">
    <w:abstractNumId w:val="14"/>
  </w:num>
  <w:num w:numId="14">
    <w:abstractNumId w:val="4"/>
  </w:num>
  <w:num w:numId="15">
    <w:abstractNumId w:val="5"/>
  </w:num>
  <w:num w:numId="16">
    <w:abstractNumId w:val="0"/>
  </w:num>
  <w:num w:numId="17">
    <w:abstractNumId w:val="21"/>
  </w:num>
  <w:num w:numId="18">
    <w:abstractNumId w:val="2"/>
  </w:num>
  <w:num w:numId="19">
    <w:abstractNumId w:val="1"/>
  </w:num>
  <w:num w:numId="20">
    <w:abstractNumId w:val="3"/>
  </w:num>
  <w:num w:numId="21">
    <w:abstractNumId w:val="2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documentProtection w:enforcement="0"/>
  <w:defaultTabStop w:val="720"/>
  <w:drawingGridHorizontalSpacing w:val="220"/>
  <w:drawingGridVerticalSpacing w:val="-7946"/>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0BA"/>
    <w:rsid w:val="000353E5"/>
    <w:rsid w:val="000639B1"/>
    <w:rsid w:val="001549F6"/>
    <w:rsid w:val="001573A9"/>
    <w:rsid w:val="001B2D8C"/>
    <w:rsid w:val="001C0546"/>
    <w:rsid w:val="00204895"/>
    <w:rsid w:val="002123E3"/>
    <w:rsid w:val="0022292F"/>
    <w:rsid w:val="00227CFF"/>
    <w:rsid w:val="002A31C5"/>
    <w:rsid w:val="002C37D3"/>
    <w:rsid w:val="002D6E04"/>
    <w:rsid w:val="002F67FE"/>
    <w:rsid w:val="00311148"/>
    <w:rsid w:val="0037099F"/>
    <w:rsid w:val="003B7B77"/>
    <w:rsid w:val="003C0CBB"/>
    <w:rsid w:val="003D00BA"/>
    <w:rsid w:val="003D65FF"/>
    <w:rsid w:val="0041514A"/>
    <w:rsid w:val="004B4DED"/>
    <w:rsid w:val="004D7C27"/>
    <w:rsid w:val="004F0740"/>
    <w:rsid w:val="00522A72"/>
    <w:rsid w:val="00523942"/>
    <w:rsid w:val="005F4857"/>
    <w:rsid w:val="00653F0F"/>
    <w:rsid w:val="00660168"/>
    <w:rsid w:val="006E20C7"/>
    <w:rsid w:val="006E7623"/>
    <w:rsid w:val="00713611"/>
    <w:rsid w:val="00741289"/>
    <w:rsid w:val="007932D9"/>
    <w:rsid w:val="007937C5"/>
    <w:rsid w:val="007C3628"/>
    <w:rsid w:val="007D62DF"/>
    <w:rsid w:val="00852F60"/>
    <w:rsid w:val="008655B2"/>
    <w:rsid w:val="009110F0"/>
    <w:rsid w:val="009E1BCB"/>
    <w:rsid w:val="00A06B46"/>
    <w:rsid w:val="00A608D2"/>
    <w:rsid w:val="00AA2050"/>
    <w:rsid w:val="00AD5599"/>
    <w:rsid w:val="00AF6308"/>
    <w:rsid w:val="00B1529B"/>
    <w:rsid w:val="00B929D4"/>
    <w:rsid w:val="00B93181"/>
    <w:rsid w:val="00C1332E"/>
    <w:rsid w:val="00CE7890"/>
    <w:rsid w:val="00D61244"/>
    <w:rsid w:val="00DA67AF"/>
    <w:rsid w:val="00E03186"/>
    <w:rsid w:val="00E86135"/>
    <w:rsid w:val="00EE31F3"/>
    <w:rsid w:val="00EE5372"/>
    <w:rsid w:val="00EF0540"/>
    <w:rsid w:val="00EF40F4"/>
    <w:rsid w:val="00F20A5E"/>
    <w:rsid w:val="00F43C09"/>
    <w:rsid w:val="00FC436E"/>
    <w:rsid w:val="02ED7EC0"/>
    <w:rsid w:val="03726617"/>
    <w:rsid w:val="04971537"/>
    <w:rsid w:val="065E2E82"/>
    <w:rsid w:val="0BC81E68"/>
    <w:rsid w:val="0C9F639C"/>
    <w:rsid w:val="0F102E43"/>
    <w:rsid w:val="12EB59AA"/>
    <w:rsid w:val="143129D6"/>
    <w:rsid w:val="1782335A"/>
    <w:rsid w:val="19296280"/>
    <w:rsid w:val="1E2E0E69"/>
    <w:rsid w:val="1F59095F"/>
    <w:rsid w:val="251C4037"/>
    <w:rsid w:val="27E54276"/>
    <w:rsid w:val="2B534299"/>
    <w:rsid w:val="36F01AF3"/>
    <w:rsid w:val="38404012"/>
    <w:rsid w:val="389D76B7"/>
    <w:rsid w:val="38BE762D"/>
    <w:rsid w:val="391536F1"/>
    <w:rsid w:val="3C9074B5"/>
    <w:rsid w:val="3F2D2E17"/>
    <w:rsid w:val="4170233D"/>
    <w:rsid w:val="43E92C93"/>
    <w:rsid w:val="49F70BF1"/>
    <w:rsid w:val="4E544FB3"/>
    <w:rsid w:val="51C60E59"/>
    <w:rsid w:val="53582700"/>
    <w:rsid w:val="543D36A4"/>
    <w:rsid w:val="5ACF2938"/>
    <w:rsid w:val="5C7434EE"/>
    <w:rsid w:val="639C2A48"/>
    <w:rsid w:val="64662E85"/>
    <w:rsid w:val="64946422"/>
    <w:rsid w:val="6F871898"/>
    <w:rsid w:val="6F930B59"/>
    <w:rsid w:val="6FC14D32"/>
    <w:rsid w:val="70AE287D"/>
    <w:rsid w:val="724B607B"/>
    <w:rsid w:val="7C302A9C"/>
    <w:rsid w:val="7D226E2B"/>
    <w:rsid w:val="7DD9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line="360" w:lineRule="auto"/>
      <w:outlineLvl w:val="0"/>
    </w:pPr>
    <w:rPr>
      <w:rFonts w:ascii="Times New Roman" w:hAnsi="Times New Roman"/>
      <w:b/>
      <w:sz w:val="24"/>
      <w:szCs w:val="28"/>
    </w:rPr>
  </w:style>
  <w:style w:type="paragraph" w:styleId="3">
    <w:name w:val="heading 2"/>
    <w:basedOn w:val="1"/>
    <w:unhideWhenUsed/>
    <w:qFormat/>
    <w:uiPriority w:val="9"/>
    <w:pPr>
      <w:jc w:val="center"/>
      <w:outlineLvl w:val="1"/>
    </w:pPr>
    <w:rPr>
      <w:sz w:val="24"/>
      <w:szCs w:val="24"/>
    </w:rPr>
  </w:style>
  <w:style w:type="paragraph" w:styleId="4">
    <w:name w:val="heading 4"/>
    <w:basedOn w:val="1"/>
    <w:next w:val="1"/>
    <w:link w:val="20"/>
    <w:unhideWhenUsed/>
    <w:qFormat/>
    <w:uiPriority w:val="0"/>
    <w:pPr>
      <w:keepNext/>
      <w:keepLines/>
      <w:autoSpaceDE/>
      <w:autoSpaceDN/>
      <w:adjustRightInd w:val="0"/>
      <w:spacing w:before="80" w:after="40" w:line="360" w:lineRule="atLeast"/>
      <w:textAlignment w:val="baseline"/>
      <w:outlineLvl w:val="3"/>
    </w:pPr>
    <w:rPr>
      <w:rFonts w:ascii="Times New Roman" w:hAnsi="Times New Roman" w:cstheme="majorBidi"/>
      <w:color w:val="376092" w:themeColor="accent1" w:themeShade="BF"/>
      <w:sz w:val="28"/>
      <w:szCs w:val="28"/>
      <w:lang w:eastAsia="zh-TW"/>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151"/>
      <w:ind w:left="230"/>
    </w:pPr>
    <w:rPr>
      <w:sz w:val="21"/>
      <w:szCs w:val="21"/>
    </w:rPr>
  </w:style>
  <w:style w:type="paragraph" w:styleId="6">
    <w:name w:val="toc 3"/>
    <w:basedOn w:val="1"/>
    <w:next w:val="1"/>
    <w:autoRedefine/>
    <w:unhideWhenUsed/>
    <w:qFormat/>
    <w:uiPriority w:val="39"/>
    <w:pPr>
      <w:tabs>
        <w:tab w:val="left" w:pos="1540"/>
        <w:tab w:val="right" w:leader="dot" w:pos="10625"/>
      </w:tabs>
      <w:spacing w:line="360" w:lineRule="auto"/>
      <w:ind w:left="880" w:leftChars="400"/>
    </w:pPr>
    <w:rPr>
      <w:spacing w:val="-12"/>
    </w:rPr>
  </w:style>
  <w:style w:type="paragraph" w:styleId="7">
    <w:name w:val="footer"/>
    <w:basedOn w:val="1"/>
    <w:link w:val="19"/>
    <w:unhideWhenUsed/>
    <w:qFormat/>
    <w:uiPriority w:val="99"/>
    <w:pPr>
      <w:tabs>
        <w:tab w:val="center" w:pos="4153"/>
        <w:tab w:val="right" w:pos="8306"/>
      </w:tabs>
      <w:snapToGrid w:val="0"/>
    </w:pPr>
    <w:rPr>
      <w:sz w:val="18"/>
      <w:szCs w:val="18"/>
    </w:rPr>
  </w:style>
  <w:style w:type="paragraph" w:styleId="8">
    <w:name w:val="header"/>
    <w:basedOn w:val="1"/>
    <w:link w:val="18"/>
    <w:unhideWhenUsed/>
    <w:qFormat/>
    <w:uiPriority w:val="99"/>
    <w:pPr>
      <w:tabs>
        <w:tab w:val="center" w:pos="4153"/>
        <w:tab w:val="right" w:pos="8306"/>
      </w:tabs>
      <w:snapToGrid w:val="0"/>
      <w:jc w:val="center"/>
    </w:pPr>
    <w:rPr>
      <w:sz w:val="18"/>
      <w:szCs w:val="18"/>
    </w:rPr>
  </w:style>
  <w:style w:type="paragraph" w:styleId="9">
    <w:name w:val="toc 1"/>
    <w:basedOn w:val="1"/>
    <w:next w:val="1"/>
    <w:autoRedefine/>
    <w:unhideWhenUsed/>
    <w:qFormat/>
    <w:uiPriority w:val="39"/>
    <w:pPr>
      <w:tabs>
        <w:tab w:val="right" w:leader="dot" w:pos="10625"/>
      </w:tabs>
    </w:pPr>
    <w:rPr>
      <w:spacing w:val="-12"/>
    </w:rPr>
  </w:style>
  <w:style w:type="paragraph" w:styleId="10">
    <w:name w:val="toc 2"/>
    <w:basedOn w:val="1"/>
    <w:next w:val="1"/>
    <w:autoRedefine/>
    <w:unhideWhenUsed/>
    <w:qFormat/>
    <w:uiPriority w:val="39"/>
    <w:pPr>
      <w:tabs>
        <w:tab w:val="left" w:pos="1100"/>
        <w:tab w:val="right" w:leader="dot" w:pos="10625"/>
      </w:tabs>
      <w:spacing w:line="360" w:lineRule="auto"/>
      <w:ind w:left="440" w:leftChars="200"/>
    </w:pPr>
  </w:style>
  <w:style w:type="paragraph" w:styleId="11">
    <w:name w:val="Title"/>
    <w:basedOn w:val="1"/>
    <w:qFormat/>
    <w:uiPriority w:val="10"/>
    <w:pPr>
      <w:spacing w:before="125"/>
      <w:ind w:left="362" w:right="432"/>
      <w:jc w:val="center"/>
    </w:pPr>
    <w:rPr>
      <w:sz w:val="71"/>
      <w:szCs w:val="71"/>
    </w:r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table" w:customStyle="1" w:styleId="15">
    <w:name w:val="Table Normal"/>
    <w:semiHidden/>
    <w:unhideWhenUsed/>
    <w:qFormat/>
    <w:uiPriority w:val="2"/>
    <w:tblPr>
      <w:tblCellMar>
        <w:top w:w="0" w:type="dxa"/>
        <w:left w:w="0" w:type="dxa"/>
        <w:bottom w:w="0" w:type="dxa"/>
        <w:right w:w="0" w:type="dxa"/>
      </w:tblCellMar>
    </w:tblPr>
  </w:style>
  <w:style w:type="paragraph" w:styleId="16">
    <w:name w:val="List Paragraph"/>
    <w:basedOn w:val="1"/>
    <w:qFormat/>
    <w:uiPriority w:val="1"/>
    <w:pPr>
      <w:numPr>
        <w:ilvl w:val="1"/>
        <w:numId w:val="1"/>
      </w:numPr>
      <w:spacing w:before="151"/>
    </w:pPr>
  </w:style>
  <w:style w:type="paragraph" w:customStyle="1" w:styleId="17">
    <w:name w:val="Table Paragraph"/>
    <w:basedOn w:val="1"/>
    <w:qFormat/>
    <w:uiPriority w:val="1"/>
    <w:pPr>
      <w:spacing w:before="140"/>
      <w:ind w:left="12"/>
      <w:jc w:val="center"/>
    </w:pPr>
  </w:style>
  <w:style w:type="character" w:customStyle="1" w:styleId="18">
    <w:name w:val="页眉 字符"/>
    <w:basedOn w:val="13"/>
    <w:link w:val="8"/>
    <w:qFormat/>
    <w:uiPriority w:val="99"/>
    <w:rPr>
      <w:rFonts w:ascii="宋体" w:hAnsi="宋体" w:eastAsia="宋体" w:cs="宋体"/>
      <w:sz w:val="18"/>
      <w:szCs w:val="18"/>
      <w:lang w:eastAsia="zh-CN"/>
    </w:rPr>
  </w:style>
  <w:style w:type="character" w:customStyle="1" w:styleId="19">
    <w:name w:val="页脚 字符"/>
    <w:basedOn w:val="13"/>
    <w:link w:val="7"/>
    <w:qFormat/>
    <w:uiPriority w:val="99"/>
    <w:rPr>
      <w:rFonts w:ascii="宋体" w:hAnsi="宋体" w:eastAsia="宋体" w:cs="宋体"/>
      <w:sz w:val="18"/>
      <w:szCs w:val="18"/>
      <w:lang w:eastAsia="zh-CN"/>
    </w:rPr>
  </w:style>
  <w:style w:type="character" w:customStyle="1" w:styleId="20">
    <w:name w:val="标题 4 字符"/>
    <w:basedOn w:val="13"/>
    <w:link w:val="4"/>
    <w:qFormat/>
    <w:uiPriority w:val="0"/>
    <w:rPr>
      <w:rFonts w:ascii="Times New Roman" w:hAnsi="Times New Roman" w:eastAsia="宋体" w:cstheme="majorBidi"/>
      <w:color w:val="376092" w:themeColor="accent1" w:themeShade="BF"/>
      <w:sz w:val="28"/>
      <w:szCs w:val="28"/>
      <w:lang w:eastAsia="zh-TW"/>
    </w:rPr>
  </w:style>
  <w:style w:type="paragraph" w:customStyle="1" w:styleId="21">
    <w:name w:val="TOC 标题1"/>
    <w:basedOn w:val="2"/>
    <w:next w:val="1"/>
    <w:unhideWhenUsed/>
    <w:qFormat/>
    <w:uiPriority w:val="39"/>
    <w:pPr>
      <w:keepNext/>
      <w:keepLines/>
      <w:widowControl/>
      <w:autoSpaceDE/>
      <w:autoSpaceDN/>
      <w:spacing w:before="240" w:line="259" w:lineRule="auto"/>
      <w:outlineLvl w:val="9"/>
    </w:pPr>
    <w:rPr>
      <w:rFonts w:asciiTheme="majorHAnsi" w:hAnsiTheme="majorHAnsi" w:eastAsiaTheme="majorEastAsia" w:cstheme="majorBidi"/>
      <w:color w:val="376092" w:themeColor="accent1" w:themeShade="BF"/>
      <w:sz w:val="32"/>
      <w:szCs w:val="32"/>
    </w:rPr>
  </w:style>
  <w:style w:type="paragraph" w:customStyle="1" w:styleId="22">
    <w:name w:val="Table Text"/>
    <w:basedOn w:val="1"/>
    <w:semiHidden/>
    <w:qFormat/>
    <w:uiPriority w:val="0"/>
    <w:pPr>
      <w:widowControl/>
      <w:kinsoku w:val="0"/>
      <w:adjustRightInd w:val="0"/>
      <w:snapToGrid w:val="0"/>
      <w:spacing w:after="160"/>
      <w:textAlignment w:val="baseline"/>
    </w:pPr>
    <w:rPr>
      <w:rFonts w:ascii="仿宋" w:hAnsi="仿宋" w:eastAsia="仿宋" w:cs="仿宋"/>
      <w:snapToGrid w:val="0"/>
      <w:color w:val="000000"/>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76D71F-BA4C-4A39-860C-1A1D981EB589}">
  <ds:schemaRefs/>
</ds:datastoreItem>
</file>

<file path=docProps/app.xml><?xml version="1.0" encoding="utf-8"?>
<Properties xmlns="http://schemas.openxmlformats.org/officeDocument/2006/extended-properties" xmlns:vt="http://schemas.openxmlformats.org/officeDocument/2006/docPropsVTypes">
  <Template>Normal</Template>
  <Pages>34</Pages>
  <Words>2528</Words>
  <Characters>2747</Characters>
  <Lines>503</Lines>
  <Paragraphs>611</Paragraphs>
  <TotalTime>4</TotalTime>
  <ScaleCrop>false</ScaleCrop>
  <LinksUpToDate>false</LinksUpToDate>
  <CharactersWithSpaces>2825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2025-06-14T07:54:00Z</dcterms:created>
  <dc:creator>xiaojuan zhang</dc:creator>
  <cp:lastModifiedBy>想钱的人</cp:lastModifiedBy>
  <cp:lastPrinted>2025-08-10T07:45:00Z</cp:lastPrinted>
  <dcterms:modified xsi:type="dcterms:W3CDTF">2026-05-25T01:38:59Z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2025-06-14T00:00:00Z</vt:filetime>
  </property>
  <property fmtid="{D5CDD505-2E9C-101B-9397-08002B2CF9AE}" pid="3" name="LastSaved">
    <vt:filetime>2025-06-14T00:00:00Z</vt:filetime>
  </property>
  <property fmtid="{D5CDD505-2E9C-101B-9397-08002B2CF9AE}" pid="4" name="Producer">
    <vt:lpwstr>3-Heights(TM) PDF Security Shell 4.8.25.2 (http://www.pdf-tools.com)</vt:lpwstr>
  </property>
  <property fmtid="{D5CDD505-2E9C-101B-9397-08002B2CF9AE}" pid="5" name="KSOTemplateDocerSaveRecord">
    <vt:lpwstr>eyJoZGlkIjoiMzZhZGE1N2MwMmJiNDcxMDYyOWU2ODE1NjcxZWU3ZTkiLCJ1c2VySWQiOiI4ODI3NTkyMDIifQ==</vt:lpwstr>
  </property>
  <property fmtid="{D5CDD505-2E9C-101B-9397-08002B2CF9AE}" pid="6" name="KSOProductBuildVer">
    <vt:lpwstr>2052-12.1.0.26375</vt:lpwstr>
  </property>
  <property fmtid="{D5CDD505-2E9C-101B-9397-08002B2CF9AE}" pid="7" name="ICV">
    <vt:lpwstr>F621A2C9B09B4458B07192BCD315E3E4_13</vt:lpwstr>
  </property>
</Properties>
</file>