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9346"/>
      </w:tblGrid>
      <w:tr w14:paraId="7851B550">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13562" w:hRule="atLeast"/>
          <w:jc w:val="center"/>
        </w:trPr>
        <w:tc>
          <w:tcPr>
            <w:tcW w:w="9346" w:type="dxa"/>
          </w:tcPr>
          <w:p w14:paraId="4607B240">
            <w:pPr>
              <w:ind w:firstLine="0" w:firstLineChars="0"/>
              <w:jc w:val="center"/>
              <w:rPr>
                <w:rFonts w:hint="eastAsia"/>
                <w:sz w:val="22"/>
                <w:szCs w:val="21"/>
              </w:rPr>
            </w:pPr>
          </w:p>
          <w:p w14:paraId="304E18FE">
            <w:pPr>
              <w:ind w:firstLine="0" w:firstLineChars="0"/>
              <w:jc w:val="center"/>
              <w:rPr>
                <w:rFonts w:hint="eastAsia"/>
                <w:b/>
                <w:sz w:val="52"/>
                <w:szCs w:val="52"/>
              </w:rPr>
            </w:pPr>
            <w:r>
              <w:rPr>
                <w:rFonts w:hint="eastAsia"/>
                <w:sz w:val="24"/>
                <w:szCs w:val="24"/>
              </w:rPr>
              <w:drawing>
                <wp:anchor distT="0" distB="0" distL="114300" distR="114300" simplePos="0" relativeHeight="251659264" behindDoc="0" locked="0" layoutInCell="1" allowOverlap="1">
                  <wp:simplePos x="0" y="0"/>
                  <wp:positionH relativeFrom="column">
                    <wp:posOffset>2172970</wp:posOffset>
                  </wp:positionH>
                  <wp:positionV relativeFrom="paragraph">
                    <wp:posOffset>438150</wp:posOffset>
                  </wp:positionV>
                  <wp:extent cx="1298575" cy="1263650"/>
                  <wp:effectExtent l="0" t="0" r="12065" b="1270"/>
                  <wp:wrapNone/>
                  <wp:docPr id="2" name="图片 3" descr="339bdc2df1bf15a4c4d88c9929c41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339bdc2df1bf15a4c4d88c9929c41ee"/>
                          <pic:cNvPicPr>
                            <a:picLocks noChangeAspect="1"/>
                          </pic:cNvPicPr>
                        </pic:nvPicPr>
                        <pic:blipFill>
                          <a:blip r:embed="rId18"/>
                          <a:stretch>
                            <a:fillRect/>
                          </a:stretch>
                        </pic:blipFill>
                        <pic:spPr>
                          <a:xfrm>
                            <a:off x="0" y="0"/>
                            <a:ext cx="1298575" cy="1263650"/>
                          </a:xfrm>
                          <a:prstGeom prst="rect">
                            <a:avLst/>
                          </a:prstGeom>
                          <a:noFill/>
                          <a:ln>
                            <a:noFill/>
                          </a:ln>
                        </pic:spPr>
                      </pic:pic>
                    </a:graphicData>
                  </a:graphic>
                </wp:anchor>
              </w:drawing>
            </w:r>
          </w:p>
          <w:p w14:paraId="3F2196A6">
            <w:pPr>
              <w:ind w:firstLine="0" w:firstLineChars="0"/>
              <w:jc w:val="center"/>
              <w:rPr>
                <w:rFonts w:hint="eastAsia"/>
                <w:b/>
                <w:sz w:val="52"/>
                <w:szCs w:val="52"/>
              </w:rPr>
            </w:pPr>
          </w:p>
          <w:p w14:paraId="069D37FF">
            <w:pPr>
              <w:ind w:firstLine="0" w:firstLineChars="0"/>
              <w:jc w:val="center"/>
              <w:rPr>
                <w:rFonts w:hint="eastAsia"/>
                <w:b/>
                <w:sz w:val="32"/>
                <w:szCs w:val="32"/>
              </w:rPr>
            </w:pPr>
          </w:p>
          <w:p w14:paraId="5879F55F">
            <w:pPr>
              <w:ind w:firstLine="0" w:firstLineChars="0"/>
              <w:jc w:val="center"/>
              <w:rPr>
                <w:rFonts w:hint="eastAsia"/>
                <w:b/>
                <w:spacing w:val="20"/>
                <w:sz w:val="44"/>
                <w:szCs w:val="44"/>
                <w:lang w:val="en-GB"/>
              </w:rPr>
            </w:pPr>
          </w:p>
          <w:p w14:paraId="59C71F24">
            <w:pPr>
              <w:ind w:firstLine="0" w:firstLineChars="0"/>
              <w:jc w:val="left"/>
              <w:rPr>
                <w:rFonts w:hint="eastAsia"/>
                <w:b/>
                <w:sz w:val="48"/>
                <w:szCs w:val="48"/>
              </w:rPr>
            </w:pPr>
          </w:p>
          <w:p w14:paraId="47029BEB">
            <w:pPr>
              <w:ind w:firstLine="0" w:firstLineChars="0"/>
              <w:jc w:val="center"/>
              <w:rPr>
                <w:rFonts w:hint="eastAsia"/>
                <w:b/>
                <w:sz w:val="48"/>
                <w:szCs w:val="48"/>
                <w:lang w:val="en-GB"/>
              </w:rPr>
            </w:pPr>
            <w:r>
              <w:rPr>
                <w:rFonts w:hint="eastAsia" w:cs="Times New Roman"/>
                <w:b/>
                <w:sz w:val="48"/>
                <w:szCs w:val="48"/>
              </w:rPr>
              <w:t>企业诚信管理体系认证规则</w:t>
            </w:r>
          </w:p>
          <w:p w14:paraId="4A24592B">
            <w:pPr>
              <w:ind w:firstLine="1446" w:firstLineChars="300"/>
              <w:jc w:val="left"/>
              <w:rPr>
                <w:rFonts w:hint="eastAsia"/>
                <w:b/>
                <w:sz w:val="48"/>
                <w:szCs w:val="48"/>
                <w:lang w:val="en-GB"/>
              </w:rPr>
            </w:pPr>
          </w:p>
          <w:p w14:paraId="6F7D9571">
            <w:pPr>
              <w:ind w:firstLine="1446" w:firstLineChars="300"/>
              <w:jc w:val="left"/>
              <w:rPr>
                <w:rFonts w:hint="eastAsia"/>
                <w:b/>
                <w:sz w:val="48"/>
                <w:szCs w:val="48"/>
                <w:lang w:val="en-GB"/>
              </w:rPr>
            </w:pPr>
          </w:p>
          <w:p w14:paraId="3FDB138D">
            <w:pPr>
              <w:ind w:firstLine="1446" w:firstLineChars="300"/>
              <w:jc w:val="left"/>
              <w:rPr>
                <w:rFonts w:hint="eastAsia"/>
                <w:b/>
                <w:sz w:val="48"/>
                <w:szCs w:val="48"/>
                <w:lang w:val="en-GB"/>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280"/>
              <w:gridCol w:w="1706"/>
              <w:gridCol w:w="2494"/>
            </w:tblGrid>
            <w:tr w14:paraId="607C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5289D9AB">
                  <w:pPr>
                    <w:snapToGrid w:val="0"/>
                    <w:ind w:firstLine="0" w:firstLineChars="0"/>
                    <w:jc w:val="center"/>
                    <w:rPr>
                      <w:rFonts w:cs="Times New Roman"/>
                      <w:b/>
                      <w:sz w:val="24"/>
                      <w:szCs w:val="24"/>
                    </w:rPr>
                  </w:pPr>
                  <w:r>
                    <w:rPr>
                      <w:rFonts w:cs="Times New Roman"/>
                      <w:b/>
                      <w:sz w:val="24"/>
                      <w:szCs w:val="24"/>
                    </w:rPr>
                    <w:t>文件编号:</w:t>
                  </w:r>
                </w:p>
              </w:tc>
              <w:tc>
                <w:tcPr>
                  <w:tcW w:w="2280" w:type="dxa"/>
                  <w:tcBorders>
                    <w:top w:val="nil"/>
                    <w:left w:val="nil"/>
                    <w:bottom w:val="single" w:color="auto" w:sz="12" w:space="0"/>
                    <w:right w:val="nil"/>
                  </w:tcBorders>
                  <w:vAlign w:val="bottom"/>
                </w:tcPr>
                <w:p w14:paraId="0D705FF9">
                  <w:pPr>
                    <w:snapToGrid w:val="0"/>
                    <w:ind w:firstLine="0" w:firstLineChars="0"/>
                    <w:jc w:val="center"/>
                    <w:rPr>
                      <w:rFonts w:hint="eastAsia" w:eastAsia="宋体" w:cs="Times New Roman"/>
                      <w:b/>
                      <w:sz w:val="24"/>
                      <w:szCs w:val="24"/>
                      <w:lang w:eastAsia="zh-CN"/>
                    </w:rPr>
                  </w:pPr>
                  <w:bookmarkStart w:id="0" w:name="OLE_LINK1"/>
                  <w:r>
                    <w:rPr>
                      <w:rFonts w:cs="Times New Roman"/>
                      <w:b/>
                      <w:sz w:val="24"/>
                      <w:szCs w:val="24"/>
                    </w:rPr>
                    <w:t>FLH-RZGZ-00</w:t>
                  </w:r>
                  <w:r>
                    <w:rPr>
                      <w:rFonts w:hint="eastAsia" w:cs="Times New Roman"/>
                      <w:b/>
                      <w:sz w:val="24"/>
                      <w:szCs w:val="24"/>
                    </w:rPr>
                    <w:t>4</w:t>
                  </w:r>
                  <w:bookmarkEnd w:id="0"/>
                  <w:r>
                    <w:rPr>
                      <w:rFonts w:hint="eastAsia" w:cs="Times New Roman"/>
                      <w:b/>
                      <w:sz w:val="24"/>
                      <w:szCs w:val="24"/>
                      <w:lang w:val="en-US" w:eastAsia="zh-CN"/>
                    </w:rPr>
                    <w:t>A</w:t>
                  </w:r>
                </w:p>
              </w:tc>
              <w:tc>
                <w:tcPr>
                  <w:tcW w:w="1706" w:type="dxa"/>
                  <w:tcBorders>
                    <w:top w:val="nil"/>
                    <w:left w:val="nil"/>
                    <w:bottom w:val="nil"/>
                    <w:right w:val="nil"/>
                  </w:tcBorders>
                  <w:vAlign w:val="bottom"/>
                </w:tcPr>
                <w:p w14:paraId="2B1E87AF">
                  <w:pPr>
                    <w:snapToGrid w:val="0"/>
                    <w:ind w:firstLine="0" w:firstLineChars="0"/>
                    <w:jc w:val="center"/>
                    <w:rPr>
                      <w:rFonts w:cs="Times New Roman"/>
                      <w:b/>
                      <w:sz w:val="24"/>
                      <w:szCs w:val="24"/>
                    </w:rPr>
                  </w:pPr>
                  <w:r>
                    <w:rPr>
                      <w:rFonts w:cs="Times New Roman"/>
                      <w:b/>
                      <w:sz w:val="24"/>
                      <w:szCs w:val="24"/>
                    </w:rPr>
                    <w:t>受控状态:</w:t>
                  </w:r>
                </w:p>
              </w:tc>
              <w:tc>
                <w:tcPr>
                  <w:tcW w:w="2494" w:type="dxa"/>
                  <w:tcBorders>
                    <w:top w:val="nil"/>
                    <w:left w:val="nil"/>
                    <w:bottom w:val="single" w:color="auto" w:sz="12" w:space="0"/>
                    <w:right w:val="nil"/>
                  </w:tcBorders>
                  <w:vAlign w:val="bottom"/>
                </w:tcPr>
                <w:p w14:paraId="4D480F34">
                  <w:pPr>
                    <w:snapToGrid w:val="0"/>
                    <w:ind w:firstLine="0" w:firstLineChars="0"/>
                    <w:jc w:val="center"/>
                    <w:rPr>
                      <w:rFonts w:cs="Times New Roman"/>
                      <w:b/>
                      <w:sz w:val="24"/>
                      <w:szCs w:val="24"/>
                    </w:rPr>
                  </w:pPr>
                  <w:r>
                    <w:rPr>
                      <w:rFonts w:cs="Times New Roman"/>
                      <w:b/>
                      <w:sz w:val="24"/>
                      <w:szCs w:val="24"/>
                    </w:rPr>
                    <w:t>受控</w:t>
                  </w:r>
                </w:p>
              </w:tc>
            </w:tr>
            <w:tr w14:paraId="7C31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1328B84D">
                  <w:pPr>
                    <w:snapToGrid w:val="0"/>
                    <w:ind w:firstLine="0" w:firstLineChars="0"/>
                    <w:jc w:val="center"/>
                    <w:rPr>
                      <w:rFonts w:cs="Times New Roman"/>
                      <w:b/>
                      <w:sz w:val="24"/>
                      <w:szCs w:val="24"/>
                    </w:rPr>
                  </w:pPr>
                  <w:r>
                    <w:rPr>
                      <w:rFonts w:cs="Times New Roman"/>
                      <w:b/>
                      <w:sz w:val="24"/>
                      <w:szCs w:val="24"/>
                    </w:rPr>
                    <w:t xml:space="preserve">版    </w:t>
                  </w:r>
                  <w:r>
                    <w:rPr>
                      <w:rFonts w:hint="eastAsia" w:cs="Times New Roman"/>
                      <w:b/>
                      <w:sz w:val="24"/>
                      <w:szCs w:val="24"/>
                    </w:rPr>
                    <w:t xml:space="preserve">   </w:t>
                  </w:r>
                  <w:r>
                    <w:rPr>
                      <w:rFonts w:cs="Times New Roman"/>
                      <w:b/>
                      <w:sz w:val="24"/>
                      <w:szCs w:val="24"/>
                    </w:rPr>
                    <w:t>次:</w:t>
                  </w:r>
                </w:p>
              </w:tc>
              <w:tc>
                <w:tcPr>
                  <w:tcW w:w="2280" w:type="dxa"/>
                  <w:tcBorders>
                    <w:top w:val="single" w:color="auto" w:sz="12" w:space="0"/>
                    <w:left w:val="nil"/>
                    <w:bottom w:val="single" w:color="auto" w:sz="12" w:space="0"/>
                    <w:right w:val="nil"/>
                  </w:tcBorders>
                  <w:vAlign w:val="bottom"/>
                </w:tcPr>
                <w:p w14:paraId="1C330A83">
                  <w:pPr>
                    <w:snapToGrid w:val="0"/>
                    <w:ind w:firstLine="0" w:firstLineChars="0"/>
                    <w:jc w:val="center"/>
                    <w:rPr>
                      <w:rFonts w:hint="default" w:eastAsia="宋体" w:cs="Times New Roman"/>
                      <w:b/>
                      <w:sz w:val="24"/>
                      <w:szCs w:val="24"/>
                      <w:lang w:val="en-US" w:eastAsia="zh-CN"/>
                    </w:rPr>
                  </w:pPr>
                  <w:r>
                    <w:rPr>
                      <w:rFonts w:hint="eastAsia" w:cs="Times New Roman"/>
                      <w:b/>
                      <w:sz w:val="24"/>
                      <w:szCs w:val="24"/>
                      <w:lang w:val="en-US" w:eastAsia="zh-CN"/>
                    </w:rPr>
                    <w:t>A/3</w:t>
                  </w:r>
                </w:p>
              </w:tc>
              <w:tc>
                <w:tcPr>
                  <w:tcW w:w="1706" w:type="dxa"/>
                  <w:tcBorders>
                    <w:top w:val="nil"/>
                    <w:left w:val="nil"/>
                    <w:bottom w:val="nil"/>
                    <w:right w:val="nil"/>
                  </w:tcBorders>
                  <w:vAlign w:val="bottom"/>
                </w:tcPr>
                <w:p w14:paraId="6D270154">
                  <w:pPr>
                    <w:snapToGrid w:val="0"/>
                    <w:ind w:firstLine="0" w:firstLineChars="0"/>
                    <w:jc w:val="center"/>
                    <w:rPr>
                      <w:rFonts w:cs="Times New Roman"/>
                      <w:b/>
                      <w:sz w:val="24"/>
                      <w:szCs w:val="24"/>
                    </w:rPr>
                  </w:pPr>
                  <w:r>
                    <w:rPr>
                      <w:rFonts w:cs="Times New Roman"/>
                      <w:b/>
                      <w:sz w:val="24"/>
                      <w:szCs w:val="24"/>
                    </w:rPr>
                    <w:t>发布日期:</w:t>
                  </w:r>
                </w:p>
              </w:tc>
              <w:tc>
                <w:tcPr>
                  <w:tcW w:w="2494" w:type="dxa"/>
                  <w:tcBorders>
                    <w:top w:val="single" w:color="auto" w:sz="12" w:space="0"/>
                    <w:left w:val="nil"/>
                    <w:bottom w:val="single" w:color="auto" w:sz="12" w:space="0"/>
                    <w:right w:val="nil"/>
                  </w:tcBorders>
                  <w:vAlign w:val="bottom"/>
                </w:tcPr>
                <w:p w14:paraId="0C6AE722">
                  <w:pPr>
                    <w:snapToGrid w:val="0"/>
                    <w:ind w:firstLine="0" w:firstLineChars="0"/>
                    <w:jc w:val="center"/>
                    <w:rPr>
                      <w:rFonts w:cs="Times New Roman"/>
                      <w:b/>
                      <w:sz w:val="24"/>
                      <w:szCs w:val="24"/>
                    </w:rPr>
                  </w:pPr>
                  <w:r>
                    <w:rPr>
                      <w:rFonts w:cs="Times New Roman"/>
                      <w:b/>
                      <w:sz w:val="24"/>
                      <w:szCs w:val="24"/>
                    </w:rPr>
                    <w:t>202</w:t>
                  </w:r>
                  <w:r>
                    <w:rPr>
                      <w:rFonts w:hint="eastAsia" w:cs="Times New Roman"/>
                      <w:b/>
                      <w:sz w:val="24"/>
                      <w:szCs w:val="24"/>
                    </w:rPr>
                    <w:t>1</w:t>
                  </w:r>
                  <w:r>
                    <w:rPr>
                      <w:rFonts w:cs="Times New Roman"/>
                      <w:b/>
                      <w:sz w:val="24"/>
                      <w:szCs w:val="24"/>
                    </w:rPr>
                    <w:t>-</w:t>
                  </w:r>
                  <w:r>
                    <w:rPr>
                      <w:rFonts w:hint="eastAsia" w:cs="Times New Roman"/>
                      <w:b/>
                      <w:sz w:val="24"/>
                      <w:szCs w:val="24"/>
                    </w:rPr>
                    <w:t>05</w:t>
                  </w:r>
                  <w:r>
                    <w:rPr>
                      <w:rFonts w:cs="Times New Roman"/>
                      <w:b/>
                      <w:sz w:val="24"/>
                      <w:szCs w:val="24"/>
                    </w:rPr>
                    <w:t>-</w:t>
                  </w:r>
                  <w:r>
                    <w:rPr>
                      <w:rFonts w:hint="eastAsia" w:cs="Times New Roman"/>
                      <w:b/>
                      <w:sz w:val="24"/>
                      <w:szCs w:val="24"/>
                    </w:rPr>
                    <w:t>21</w:t>
                  </w:r>
                </w:p>
              </w:tc>
            </w:tr>
            <w:tr w14:paraId="1043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1BD22296">
                  <w:pPr>
                    <w:snapToGrid w:val="0"/>
                    <w:ind w:firstLine="0" w:firstLineChars="0"/>
                    <w:jc w:val="center"/>
                    <w:rPr>
                      <w:rFonts w:cs="Times New Roman"/>
                      <w:b/>
                      <w:sz w:val="24"/>
                      <w:szCs w:val="24"/>
                    </w:rPr>
                  </w:pPr>
                  <w:r>
                    <w:rPr>
                      <w:rFonts w:cs="Times New Roman"/>
                      <w:b/>
                      <w:sz w:val="24"/>
                      <w:szCs w:val="24"/>
                    </w:rPr>
                    <w:t>修订日期:</w:t>
                  </w:r>
                </w:p>
              </w:tc>
              <w:tc>
                <w:tcPr>
                  <w:tcW w:w="2280" w:type="dxa"/>
                  <w:tcBorders>
                    <w:top w:val="single" w:color="auto" w:sz="12" w:space="0"/>
                    <w:left w:val="nil"/>
                    <w:bottom w:val="single" w:color="auto" w:sz="12" w:space="0"/>
                    <w:right w:val="nil"/>
                  </w:tcBorders>
                  <w:vAlign w:val="bottom"/>
                </w:tcPr>
                <w:p w14:paraId="6785862B">
                  <w:pPr>
                    <w:snapToGrid w:val="0"/>
                    <w:ind w:firstLine="0" w:firstLineChars="0"/>
                    <w:jc w:val="center"/>
                    <w:rPr>
                      <w:rFonts w:cs="Times New Roman"/>
                      <w:b/>
                      <w:sz w:val="24"/>
                      <w:szCs w:val="24"/>
                    </w:rPr>
                  </w:pPr>
                  <w:r>
                    <w:rPr>
                      <w:rFonts w:hint="eastAsia" w:cs="Times New Roman"/>
                      <w:b/>
                      <w:sz w:val="24"/>
                      <w:szCs w:val="24"/>
                    </w:rPr>
                    <w:t>2026-04-20</w:t>
                  </w:r>
                </w:p>
              </w:tc>
              <w:tc>
                <w:tcPr>
                  <w:tcW w:w="1706" w:type="dxa"/>
                  <w:tcBorders>
                    <w:top w:val="nil"/>
                    <w:left w:val="nil"/>
                    <w:bottom w:val="nil"/>
                    <w:right w:val="nil"/>
                  </w:tcBorders>
                  <w:vAlign w:val="bottom"/>
                </w:tcPr>
                <w:p w14:paraId="087909E0">
                  <w:pPr>
                    <w:snapToGrid w:val="0"/>
                    <w:ind w:firstLine="0" w:firstLineChars="0"/>
                    <w:jc w:val="center"/>
                    <w:rPr>
                      <w:rFonts w:cs="Times New Roman"/>
                      <w:b/>
                      <w:sz w:val="24"/>
                      <w:szCs w:val="24"/>
                    </w:rPr>
                  </w:pPr>
                  <w:r>
                    <w:rPr>
                      <w:rFonts w:cs="Times New Roman"/>
                      <w:b/>
                      <w:sz w:val="24"/>
                      <w:szCs w:val="24"/>
                    </w:rPr>
                    <w:t>实施日期:</w:t>
                  </w:r>
                </w:p>
              </w:tc>
              <w:tc>
                <w:tcPr>
                  <w:tcW w:w="2494" w:type="dxa"/>
                  <w:tcBorders>
                    <w:top w:val="single" w:color="auto" w:sz="12" w:space="0"/>
                    <w:left w:val="nil"/>
                    <w:bottom w:val="single" w:color="auto" w:sz="12" w:space="0"/>
                    <w:right w:val="nil"/>
                  </w:tcBorders>
                  <w:vAlign w:val="bottom"/>
                </w:tcPr>
                <w:p w14:paraId="267C7938">
                  <w:pPr>
                    <w:snapToGrid w:val="0"/>
                    <w:ind w:firstLine="0" w:firstLineChars="0"/>
                    <w:jc w:val="center"/>
                    <w:rPr>
                      <w:rFonts w:cs="Times New Roman"/>
                      <w:b/>
                      <w:sz w:val="24"/>
                      <w:szCs w:val="24"/>
                    </w:rPr>
                  </w:pPr>
                  <w:r>
                    <w:rPr>
                      <w:rFonts w:hint="eastAsia" w:cs="Times New Roman"/>
                      <w:b/>
                      <w:sz w:val="24"/>
                      <w:szCs w:val="24"/>
                    </w:rPr>
                    <w:t>2026-04-20</w:t>
                  </w:r>
                </w:p>
              </w:tc>
            </w:tr>
          </w:tbl>
          <w:p w14:paraId="79F8E74F">
            <w:pPr>
              <w:ind w:firstLine="0" w:firstLineChars="0"/>
              <w:jc w:val="center"/>
              <w:rPr>
                <w:rFonts w:hint="eastAsia"/>
                <w:sz w:val="32"/>
                <w:szCs w:val="32"/>
              </w:rPr>
            </w:pPr>
            <w:r>
              <w:rPr>
                <w:rFonts w:hint="eastAsia"/>
                <w:sz w:val="22"/>
              </w:rPr>
              <w:t xml:space="preserve">  </w:t>
            </w:r>
          </w:p>
          <w:p w14:paraId="5CCEAFD8">
            <w:pPr>
              <w:ind w:firstLine="0" w:firstLineChars="0"/>
              <w:jc w:val="center"/>
              <w:rPr>
                <w:rFonts w:hint="eastAsia"/>
                <w:sz w:val="32"/>
                <w:szCs w:val="32"/>
              </w:rPr>
            </w:pPr>
          </w:p>
          <w:p w14:paraId="003CCBE9">
            <w:pPr>
              <w:ind w:firstLine="0" w:firstLineChars="0"/>
              <w:jc w:val="center"/>
              <w:rPr>
                <w:rFonts w:hint="eastAsia"/>
                <w:sz w:val="32"/>
                <w:szCs w:val="32"/>
              </w:rPr>
            </w:pPr>
          </w:p>
          <w:p w14:paraId="37676656">
            <w:pPr>
              <w:snapToGrid w:val="0"/>
              <w:spacing w:line="240" w:lineRule="auto"/>
              <w:ind w:firstLine="0" w:firstLineChars="0"/>
              <w:jc w:val="center"/>
              <w:rPr>
                <w:rFonts w:hint="eastAsia"/>
                <w:sz w:val="36"/>
                <w:szCs w:val="36"/>
              </w:rPr>
            </w:pPr>
            <w:r>
              <w:rPr>
                <w:rFonts w:hint="eastAsia"/>
                <w:sz w:val="36"/>
                <w:szCs w:val="36"/>
              </w:rPr>
              <w:t>富利汇认证（宁夏）有限公司</w:t>
            </w:r>
          </w:p>
          <w:p w14:paraId="14CDD008">
            <w:pPr>
              <w:ind w:firstLine="0" w:firstLineChars="0"/>
              <w:jc w:val="center"/>
              <w:rPr>
                <w:rFonts w:cs="Tahoma"/>
                <w:color w:val="434343"/>
                <w:sz w:val="28"/>
                <w:szCs w:val="28"/>
              </w:rPr>
            </w:pPr>
          </w:p>
          <w:p w14:paraId="36B27C27">
            <w:pPr>
              <w:ind w:firstLine="0" w:firstLineChars="0"/>
              <w:jc w:val="center"/>
              <w:rPr>
                <w:rFonts w:hint="eastAsia"/>
                <w:sz w:val="22"/>
              </w:rPr>
            </w:pPr>
            <w:r>
              <w:rPr>
                <w:rFonts w:hint="eastAsia"/>
                <w:sz w:val="22"/>
              </w:rPr>
              <w:t xml:space="preserve">                                               </w:t>
            </w:r>
          </w:p>
        </w:tc>
      </w:tr>
    </w:tbl>
    <w:p w14:paraId="71A5B366">
      <w:pPr>
        <w:ind w:firstLine="0" w:firstLineChars="0"/>
        <w:rPr>
          <w:rFonts w:hint="eastAsia"/>
          <w:position w:val="1"/>
          <w:sz w:val="44"/>
        </w:rPr>
        <w:sectPr>
          <w:headerReference r:id="rId7" w:type="first"/>
          <w:footerReference r:id="rId10" w:type="first"/>
          <w:headerReference r:id="rId5" w:type="default"/>
          <w:footerReference r:id="rId8" w:type="default"/>
          <w:headerReference r:id="rId6" w:type="even"/>
          <w:footerReference r:id="rId9" w:type="even"/>
          <w:type w:val="continuous"/>
          <w:pgSz w:w="11911" w:h="16838"/>
          <w:pgMar w:top="851" w:right="851" w:bottom="851" w:left="851" w:header="567" w:footer="998" w:gutter="0"/>
          <w:cols w:space="0" w:num="1"/>
        </w:sectPr>
      </w:pPr>
    </w:p>
    <w:p w14:paraId="7CE03B46">
      <w:pPr>
        <w:ind w:firstLine="0" w:firstLineChars="0"/>
        <w:contextualSpacing/>
        <w:jc w:val="center"/>
        <w:rPr>
          <w:rFonts w:hint="eastAsia"/>
          <w:b/>
          <w:bCs/>
          <w:sz w:val="32"/>
          <w:szCs w:val="32"/>
        </w:rPr>
      </w:pPr>
      <w:r>
        <w:rPr>
          <w:rFonts w:hint="eastAsia"/>
          <w:b/>
          <w:bCs/>
          <w:sz w:val="32"/>
          <w:szCs w:val="32"/>
        </w:rPr>
        <w:t>修改记录表</w:t>
      </w:r>
    </w:p>
    <w:tbl>
      <w:tblPr>
        <w:tblStyle w:val="1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75"/>
        <w:gridCol w:w="1232"/>
        <w:gridCol w:w="2413"/>
        <w:gridCol w:w="3082"/>
      </w:tblGrid>
      <w:tr w14:paraId="198F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14EE9EF">
            <w:pPr>
              <w:ind w:firstLine="0" w:firstLineChars="0"/>
              <w:contextualSpacing/>
              <w:jc w:val="center"/>
              <w:rPr>
                <w:rFonts w:hint="eastAsia" w:cs="Arial"/>
                <w:b/>
                <w:bCs/>
              </w:rPr>
            </w:pPr>
            <w:r>
              <w:rPr>
                <w:rFonts w:cs="Arial"/>
                <w:b/>
                <w:bCs/>
                <w:w w:val="90"/>
              </w:rPr>
              <w:t>序号</w:t>
            </w:r>
          </w:p>
        </w:tc>
        <w:tc>
          <w:tcPr>
            <w:tcW w:w="1875" w:type="dxa"/>
            <w:vAlign w:val="center"/>
          </w:tcPr>
          <w:p w14:paraId="0B715942">
            <w:pPr>
              <w:ind w:firstLine="198" w:firstLineChars="94"/>
              <w:contextualSpacing/>
              <w:jc w:val="center"/>
              <w:rPr>
                <w:rFonts w:hint="eastAsia" w:cs="Arial"/>
                <w:b/>
                <w:bCs/>
              </w:rPr>
            </w:pPr>
            <w:r>
              <w:rPr>
                <w:rFonts w:cs="Arial"/>
                <w:b/>
                <w:bCs/>
              </w:rPr>
              <w:t>修改</w:t>
            </w:r>
            <w:r>
              <w:rPr>
                <w:rFonts w:hint="eastAsia" w:cs="Arial"/>
                <w:b/>
                <w:bCs/>
              </w:rPr>
              <w:t>说明</w:t>
            </w:r>
          </w:p>
        </w:tc>
        <w:tc>
          <w:tcPr>
            <w:tcW w:w="1232" w:type="dxa"/>
            <w:vAlign w:val="center"/>
          </w:tcPr>
          <w:p w14:paraId="1679EDE1">
            <w:pPr>
              <w:ind w:firstLine="198" w:firstLineChars="94"/>
              <w:contextualSpacing/>
              <w:jc w:val="center"/>
              <w:rPr>
                <w:rFonts w:hint="eastAsia" w:cs="Arial"/>
                <w:b/>
                <w:bCs/>
              </w:rPr>
            </w:pPr>
            <w:r>
              <w:rPr>
                <w:rFonts w:hint="eastAsia" w:cs="Arial"/>
                <w:b/>
                <w:bCs/>
              </w:rPr>
              <w:t>版次</w:t>
            </w:r>
          </w:p>
        </w:tc>
        <w:tc>
          <w:tcPr>
            <w:tcW w:w="2413" w:type="dxa"/>
            <w:vAlign w:val="center"/>
          </w:tcPr>
          <w:p w14:paraId="5EA78D5B">
            <w:pPr>
              <w:ind w:firstLine="0" w:firstLineChars="0"/>
              <w:contextualSpacing/>
              <w:jc w:val="center"/>
              <w:rPr>
                <w:rFonts w:hint="eastAsia" w:cs="Arial"/>
                <w:b/>
                <w:bCs/>
              </w:rPr>
            </w:pPr>
            <w:r>
              <w:rPr>
                <w:rFonts w:cs="Arial"/>
                <w:b/>
                <w:bCs/>
              </w:rPr>
              <w:t>修改人/日期</w:t>
            </w:r>
          </w:p>
        </w:tc>
        <w:tc>
          <w:tcPr>
            <w:tcW w:w="3082" w:type="dxa"/>
            <w:vAlign w:val="center"/>
          </w:tcPr>
          <w:p w14:paraId="5CE6B3E0">
            <w:pPr>
              <w:ind w:firstLine="0" w:firstLineChars="0"/>
              <w:contextualSpacing/>
              <w:jc w:val="center"/>
              <w:rPr>
                <w:rFonts w:hint="eastAsia" w:cs="Arial"/>
                <w:b/>
                <w:bCs/>
              </w:rPr>
            </w:pPr>
            <w:r>
              <w:rPr>
                <w:rFonts w:cs="Arial"/>
                <w:b/>
                <w:bCs/>
              </w:rPr>
              <w:t>批准人/日期</w:t>
            </w:r>
          </w:p>
        </w:tc>
      </w:tr>
      <w:tr w14:paraId="0957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E71016A">
            <w:pPr>
              <w:ind w:firstLine="0" w:firstLineChars="0"/>
              <w:contextualSpacing/>
              <w:jc w:val="center"/>
              <w:rPr>
                <w:rFonts w:cs="Times New Roman"/>
                <w:szCs w:val="21"/>
              </w:rPr>
            </w:pPr>
            <w:r>
              <w:rPr>
                <w:rFonts w:cs="Times New Roman"/>
                <w:szCs w:val="21"/>
              </w:rPr>
              <w:t>01</w:t>
            </w:r>
          </w:p>
        </w:tc>
        <w:tc>
          <w:tcPr>
            <w:tcW w:w="1875" w:type="dxa"/>
            <w:vAlign w:val="center"/>
          </w:tcPr>
          <w:p w14:paraId="4050039E">
            <w:pPr>
              <w:ind w:firstLine="0" w:firstLineChars="0"/>
              <w:contextualSpacing/>
              <w:jc w:val="center"/>
              <w:rPr>
                <w:rFonts w:cs="Times New Roman"/>
                <w:szCs w:val="21"/>
              </w:rPr>
            </w:pPr>
            <w:r>
              <w:rPr>
                <w:rFonts w:cs="Times New Roman"/>
                <w:szCs w:val="21"/>
              </w:rPr>
              <w:t>首次发布</w:t>
            </w:r>
          </w:p>
        </w:tc>
        <w:tc>
          <w:tcPr>
            <w:tcW w:w="1232" w:type="dxa"/>
            <w:vAlign w:val="center"/>
          </w:tcPr>
          <w:p w14:paraId="58A7A282">
            <w:pPr>
              <w:ind w:firstLine="0" w:firstLineChars="0"/>
              <w:contextualSpacing/>
              <w:jc w:val="center"/>
              <w:rPr>
                <w:rFonts w:cs="Times New Roman"/>
                <w:szCs w:val="21"/>
              </w:rPr>
            </w:pPr>
            <w:r>
              <w:rPr>
                <w:rFonts w:cs="Times New Roman"/>
                <w:szCs w:val="21"/>
              </w:rPr>
              <w:t>A/</w:t>
            </w:r>
            <w:r>
              <w:rPr>
                <w:rFonts w:hint="eastAsia" w:cs="Times New Roman"/>
                <w:szCs w:val="21"/>
              </w:rPr>
              <w:t>0</w:t>
            </w:r>
          </w:p>
        </w:tc>
        <w:tc>
          <w:tcPr>
            <w:tcW w:w="2413" w:type="dxa"/>
            <w:vAlign w:val="center"/>
          </w:tcPr>
          <w:p w14:paraId="32123476">
            <w:pPr>
              <w:ind w:firstLine="0" w:firstLineChars="0"/>
              <w:contextualSpacing/>
              <w:jc w:val="center"/>
              <w:rPr>
                <w:rFonts w:cs="Times New Roman"/>
                <w:szCs w:val="21"/>
              </w:rPr>
            </w:pPr>
            <w:bookmarkStart w:id="1" w:name="OLE_LINK2"/>
            <w:r>
              <w:rPr>
                <w:rFonts w:cs="Times New Roman"/>
                <w:szCs w:val="21"/>
              </w:rPr>
              <w:t>赵丽丽/</w:t>
            </w:r>
            <w:bookmarkEnd w:id="1"/>
            <w:r>
              <w:rPr>
                <w:rFonts w:cs="Times New Roman"/>
                <w:szCs w:val="21"/>
              </w:rPr>
              <w:t>2021-05-21</w:t>
            </w:r>
          </w:p>
        </w:tc>
        <w:tc>
          <w:tcPr>
            <w:tcW w:w="3082" w:type="dxa"/>
            <w:vAlign w:val="center"/>
          </w:tcPr>
          <w:p w14:paraId="7F736788">
            <w:pPr>
              <w:ind w:firstLine="0" w:firstLineChars="0"/>
              <w:contextualSpacing/>
              <w:jc w:val="center"/>
              <w:rPr>
                <w:rFonts w:cs="Times New Roman"/>
                <w:szCs w:val="21"/>
              </w:rPr>
            </w:pPr>
            <w:r>
              <w:rPr>
                <w:rFonts w:cs="Times New Roman"/>
                <w:szCs w:val="21"/>
              </w:rPr>
              <w:t>罗洪轩/2021-05-21</w:t>
            </w:r>
          </w:p>
        </w:tc>
      </w:tr>
      <w:tr w14:paraId="51A0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9C6FD9C">
            <w:pPr>
              <w:ind w:firstLine="0" w:firstLineChars="0"/>
              <w:contextualSpacing/>
              <w:jc w:val="center"/>
              <w:rPr>
                <w:rFonts w:cs="Times New Roman"/>
                <w:szCs w:val="21"/>
              </w:rPr>
            </w:pPr>
            <w:r>
              <w:rPr>
                <w:rFonts w:cs="Times New Roman"/>
                <w:szCs w:val="21"/>
              </w:rPr>
              <w:t>02</w:t>
            </w:r>
          </w:p>
        </w:tc>
        <w:tc>
          <w:tcPr>
            <w:tcW w:w="1875" w:type="dxa"/>
            <w:vAlign w:val="center"/>
          </w:tcPr>
          <w:p w14:paraId="31FC0504">
            <w:pPr>
              <w:ind w:firstLine="0" w:firstLineChars="0"/>
              <w:contextualSpacing/>
              <w:jc w:val="center"/>
              <w:rPr>
                <w:rFonts w:cs="Times New Roman"/>
                <w:szCs w:val="21"/>
              </w:rPr>
            </w:pPr>
            <w:r>
              <w:rPr>
                <w:rFonts w:cs="Times New Roman"/>
                <w:szCs w:val="21"/>
              </w:rPr>
              <w:t>第一次修订</w:t>
            </w:r>
          </w:p>
        </w:tc>
        <w:tc>
          <w:tcPr>
            <w:tcW w:w="1232" w:type="dxa"/>
            <w:vAlign w:val="center"/>
          </w:tcPr>
          <w:p w14:paraId="2C593EE6">
            <w:pPr>
              <w:ind w:firstLine="0" w:firstLineChars="0"/>
              <w:contextualSpacing/>
              <w:jc w:val="center"/>
              <w:rPr>
                <w:rFonts w:cs="Times New Roman"/>
                <w:szCs w:val="21"/>
              </w:rPr>
            </w:pPr>
            <w:r>
              <w:rPr>
                <w:rFonts w:cs="Times New Roman"/>
                <w:szCs w:val="21"/>
              </w:rPr>
              <w:t>A/1</w:t>
            </w:r>
          </w:p>
        </w:tc>
        <w:tc>
          <w:tcPr>
            <w:tcW w:w="2413" w:type="dxa"/>
            <w:vAlign w:val="center"/>
          </w:tcPr>
          <w:p w14:paraId="76CECC3A">
            <w:pPr>
              <w:ind w:firstLine="0" w:firstLineChars="0"/>
              <w:contextualSpacing/>
              <w:jc w:val="center"/>
              <w:rPr>
                <w:rFonts w:cs="Times New Roman"/>
                <w:szCs w:val="21"/>
              </w:rPr>
            </w:pPr>
            <w:r>
              <w:rPr>
                <w:rFonts w:cs="Times New Roman"/>
                <w:szCs w:val="21"/>
              </w:rPr>
              <w:t>赵丽丽/2025-06-14</w:t>
            </w:r>
          </w:p>
        </w:tc>
        <w:tc>
          <w:tcPr>
            <w:tcW w:w="3082" w:type="dxa"/>
            <w:vAlign w:val="center"/>
          </w:tcPr>
          <w:p w14:paraId="767DC2A1">
            <w:pPr>
              <w:ind w:firstLine="0" w:firstLineChars="0"/>
              <w:contextualSpacing/>
              <w:jc w:val="center"/>
              <w:rPr>
                <w:rFonts w:cs="Times New Roman"/>
                <w:szCs w:val="21"/>
              </w:rPr>
            </w:pPr>
            <w:r>
              <w:rPr>
                <w:rFonts w:cs="Times New Roman"/>
                <w:szCs w:val="21"/>
              </w:rPr>
              <w:t>罗洪轩/2025-06-14</w:t>
            </w:r>
          </w:p>
        </w:tc>
      </w:tr>
      <w:tr w14:paraId="601C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9558A4F">
            <w:pPr>
              <w:ind w:firstLine="0" w:firstLineChars="0"/>
              <w:contextualSpacing/>
              <w:jc w:val="center"/>
              <w:rPr>
                <w:rFonts w:cs="Times New Roman"/>
                <w:szCs w:val="21"/>
              </w:rPr>
            </w:pPr>
            <w:r>
              <w:rPr>
                <w:rFonts w:cs="Times New Roman"/>
                <w:szCs w:val="21"/>
              </w:rPr>
              <w:t>0</w:t>
            </w:r>
            <w:r>
              <w:rPr>
                <w:rFonts w:hint="eastAsia" w:cs="Times New Roman"/>
                <w:szCs w:val="21"/>
              </w:rPr>
              <w:t>3</w:t>
            </w:r>
          </w:p>
        </w:tc>
        <w:tc>
          <w:tcPr>
            <w:tcW w:w="1875" w:type="dxa"/>
            <w:vAlign w:val="center"/>
          </w:tcPr>
          <w:p w14:paraId="01A7BAF1">
            <w:pPr>
              <w:ind w:firstLine="0" w:firstLineChars="0"/>
              <w:contextualSpacing/>
              <w:jc w:val="center"/>
              <w:rPr>
                <w:rFonts w:cs="Times New Roman"/>
                <w:szCs w:val="21"/>
              </w:rPr>
            </w:pPr>
            <w:r>
              <w:rPr>
                <w:rFonts w:cs="Times New Roman"/>
                <w:szCs w:val="21"/>
              </w:rPr>
              <w:t>第</w:t>
            </w:r>
            <w:r>
              <w:rPr>
                <w:rFonts w:hint="eastAsia" w:cs="Times New Roman"/>
                <w:szCs w:val="21"/>
              </w:rPr>
              <w:t>二</w:t>
            </w:r>
            <w:r>
              <w:rPr>
                <w:rFonts w:cs="Times New Roman"/>
                <w:szCs w:val="21"/>
              </w:rPr>
              <w:t>次修订</w:t>
            </w:r>
          </w:p>
        </w:tc>
        <w:tc>
          <w:tcPr>
            <w:tcW w:w="1232" w:type="dxa"/>
            <w:vAlign w:val="center"/>
          </w:tcPr>
          <w:p w14:paraId="1ABB528B">
            <w:pPr>
              <w:ind w:firstLine="0" w:firstLineChars="0"/>
              <w:contextualSpacing/>
              <w:jc w:val="center"/>
              <w:rPr>
                <w:rFonts w:cs="Times New Roman"/>
                <w:szCs w:val="21"/>
              </w:rPr>
            </w:pPr>
            <w:r>
              <w:rPr>
                <w:rFonts w:cs="Times New Roman"/>
                <w:szCs w:val="21"/>
              </w:rPr>
              <w:t>A/</w:t>
            </w:r>
            <w:r>
              <w:rPr>
                <w:rFonts w:hint="eastAsia" w:cs="Times New Roman"/>
                <w:szCs w:val="21"/>
              </w:rPr>
              <w:t>2</w:t>
            </w:r>
          </w:p>
        </w:tc>
        <w:tc>
          <w:tcPr>
            <w:tcW w:w="2413" w:type="dxa"/>
            <w:vAlign w:val="center"/>
          </w:tcPr>
          <w:p w14:paraId="1F5A71AC">
            <w:pPr>
              <w:ind w:firstLine="0" w:firstLineChars="0"/>
              <w:contextualSpacing/>
              <w:jc w:val="center"/>
              <w:rPr>
                <w:rFonts w:cs="Times New Roman"/>
                <w:szCs w:val="21"/>
              </w:rPr>
            </w:pPr>
            <w:r>
              <w:rPr>
                <w:rFonts w:cs="Times New Roman"/>
                <w:szCs w:val="21"/>
              </w:rPr>
              <w:t>赵丽丽/</w:t>
            </w:r>
            <w:r>
              <w:rPr>
                <w:rFonts w:hint="eastAsia" w:cs="Times New Roman"/>
                <w:szCs w:val="21"/>
              </w:rPr>
              <w:t>2025-08-10</w:t>
            </w:r>
          </w:p>
        </w:tc>
        <w:tc>
          <w:tcPr>
            <w:tcW w:w="3082" w:type="dxa"/>
            <w:vAlign w:val="center"/>
          </w:tcPr>
          <w:p w14:paraId="6BC783EC">
            <w:pPr>
              <w:ind w:firstLine="0" w:firstLineChars="0"/>
              <w:contextualSpacing/>
              <w:jc w:val="center"/>
              <w:rPr>
                <w:rFonts w:cs="Times New Roman"/>
                <w:szCs w:val="21"/>
              </w:rPr>
            </w:pPr>
            <w:r>
              <w:rPr>
                <w:rFonts w:cs="Times New Roman"/>
                <w:szCs w:val="21"/>
              </w:rPr>
              <w:t>罗洪轩/2025-0</w:t>
            </w:r>
            <w:r>
              <w:rPr>
                <w:rFonts w:hint="eastAsia" w:cs="Times New Roman"/>
                <w:szCs w:val="21"/>
              </w:rPr>
              <w:t>8</w:t>
            </w:r>
            <w:r>
              <w:rPr>
                <w:rFonts w:cs="Times New Roman"/>
                <w:szCs w:val="21"/>
              </w:rPr>
              <w:t>-1</w:t>
            </w:r>
            <w:r>
              <w:rPr>
                <w:rFonts w:hint="eastAsia" w:cs="Times New Roman"/>
                <w:szCs w:val="21"/>
              </w:rPr>
              <w:t>0</w:t>
            </w:r>
          </w:p>
        </w:tc>
      </w:tr>
      <w:tr w14:paraId="2932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5187617D">
            <w:pPr>
              <w:ind w:firstLine="0" w:firstLineChars="0"/>
              <w:contextualSpacing/>
              <w:jc w:val="center"/>
              <w:rPr>
                <w:rFonts w:hint="eastAsia" w:cs="Arial"/>
                <w:szCs w:val="21"/>
              </w:rPr>
            </w:pPr>
            <w:r>
              <w:rPr>
                <w:rFonts w:cs="Times New Roman"/>
                <w:szCs w:val="21"/>
              </w:rPr>
              <w:t>0</w:t>
            </w:r>
            <w:r>
              <w:rPr>
                <w:rFonts w:hint="eastAsia" w:cs="Times New Roman"/>
                <w:szCs w:val="21"/>
              </w:rPr>
              <w:t>4</w:t>
            </w:r>
          </w:p>
        </w:tc>
        <w:tc>
          <w:tcPr>
            <w:tcW w:w="1875" w:type="dxa"/>
            <w:vAlign w:val="center"/>
          </w:tcPr>
          <w:p w14:paraId="51B3CE21">
            <w:pPr>
              <w:ind w:firstLine="0" w:firstLineChars="0"/>
              <w:contextualSpacing/>
              <w:jc w:val="center"/>
              <w:rPr>
                <w:rFonts w:hint="eastAsia" w:cs="Arial"/>
                <w:szCs w:val="21"/>
              </w:rPr>
            </w:pPr>
            <w:r>
              <w:rPr>
                <w:rFonts w:cs="Times New Roman"/>
                <w:szCs w:val="21"/>
              </w:rPr>
              <w:t>第</w:t>
            </w:r>
            <w:r>
              <w:rPr>
                <w:rFonts w:hint="eastAsia" w:cs="Times New Roman"/>
                <w:szCs w:val="21"/>
                <w:lang w:val="en-US" w:eastAsia="zh-CN"/>
              </w:rPr>
              <w:t>三</w:t>
            </w:r>
            <w:r>
              <w:rPr>
                <w:rFonts w:cs="Times New Roman"/>
                <w:szCs w:val="21"/>
              </w:rPr>
              <w:t>次修订</w:t>
            </w:r>
          </w:p>
        </w:tc>
        <w:tc>
          <w:tcPr>
            <w:tcW w:w="1232" w:type="dxa"/>
            <w:vAlign w:val="center"/>
          </w:tcPr>
          <w:p w14:paraId="79F79A08">
            <w:pPr>
              <w:ind w:firstLine="0" w:firstLineChars="0"/>
              <w:contextualSpacing/>
              <w:jc w:val="center"/>
              <w:rPr>
                <w:rFonts w:hint="eastAsia" w:eastAsia="宋体" w:cs="Arial"/>
                <w:szCs w:val="21"/>
                <w:lang w:val="en-US" w:eastAsia="zh-CN"/>
              </w:rPr>
            </w:pPr>
            <w:r>
              <w:rPr>
                <w:rFonts w:cs="Times New Roman"/>
                <w:szCs w:val="21"/>
              </w:rPr>
              <w:t>A/</w:t>
            </w:r>
            <w:r>
              <w:rPr>
                <w:rFonts w:hint="eastAsia" w:cs="Times New Roman"/>
                <w:szCs w:val="21"/>
                <w:lang w:val="en-US" w:eastAsia="zh-CN"/>
              </w:rPr>
              <w:t>3</w:t>
            </w:r>
          </w:p>
        </w:tc>
        <w:tc>
          <w:tcPr>
            <w:tcW w:w="2413" w:type="dxa"/>
            <w:vAlign w:val="center"/>
          </w:tcPr>
          <w:p w14:paraId="2ADD2124">
            <w:pPr>
              <w:ind w:firstLine="0" w:firstLineChars="0"/>
              <w:contextualSpacing/>
              <w:jc w:val="center"/>
              <w:rPr>
                <w:rFonts w:hint="eastAsia" w:cs="Arial"/>
                <w:szCs w:val="21"/>
              </w:rPr>
            </w:pPr>
            <w:r>
              <w:rPr>
                <w:rFonts w:cs="Times New Roman"/>
                <w:szCs w:val="21"/>
              </w:rPr>
              <w:t>赵丽丽/</w:t>
            </w:r>
            <w:r>
              <w:rPr>
                <w:rFonts w:hint="eastAsia" w:cs="Times New Roman"/>
                <w:szCs w:val="21"/>
              </w:rPr>
              <w:t>2026-04-20</w:t>
            </w:r>
          </w:p>
        </w:tc>
        <w:tc>
          <w:tcPr>
            <w:tcW w:w="3082" w:type="dxa"/>
            <w:vAlign w:val="center"/>
          </w:tcPr>
          <w:p w14:paraId="004D1BDA">
            <w:pPr>
              <w:ind w:firstLine="0" w:firstLineChars="0"/>
              <w:contextualSpacing/>
              <w:jc w:val="center"/>
              <w:rPr>
                <w:rFonts w:hint="eastAsia" w:cs="Arial"/>
                <w:szCs w:val="21"/>
              </w:rPr>
            </w:pPr>
            <w:r>
              <w:rPr>
                <w:rFonts w:cs="Times New Roman"/>
                <w:szCs w:val="21"/>
              </w:rPr>
              <w:t>罗洪轩/</w:t>
            </w:r>
            <w:r>
              <w:rPr>
                <w:rFonts w:hint="eastAsia" w:cs="Times New Roman"/>
                <w:szCs w:val="21"/>
              </w:rPr>
              <w:t>2026-04-20</w:t>
            </w:r>
          </w:p>
        </w:tc>
      </w:tr>
      <w:tr w14:paraId="48B0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5510E30">
            <w:pPr>
              <w:ind w:firstLine="420"/>
              <w:contextualSpacing/>
              <w:jc w:val="center"/>
              <w:rPr>
                <w:rFonts w:hint="eastAsia" w:cs="Arial"/>
                <w:szCs w:val="21"/>
              </w:rPr>
            </w:pPr>
          </w:p>
        </w:tc>
        <w:tc>
          <w:tcPr>
            <w:tcW w:w="1875" w:type="dxa"/>
            <w:vAlign w:val="center"/>
          </w:tcPr>
          <w:p w14:paraId="1199F6CC">
            <w:pPr>
              <w:ind w:firstLine="420"/>
              <w:contextualSpacing/>
              <w:jc w:val="center"/>
              <w:rPr>
                <w:rFonts w:hint="eastAsia" w:cs="Arial"/>
                <w:szCs w:val="21"/>
              </w:rPr>
            </w:pPr>
          </w:p>
        </w:tc>
        <w:tc>
          <w:tcPr>
            <w:tcW w:w="1232" w:type="dxa"/>
            <w:vAlign w:val="center"/>
          </w:tcPr>
          <w:p w14:paraId="5A9D9BCB">
            <w:pPr>
              <w:ind w:firstLine="420"/>
              <w:contextualSpacing/>
              <w:jc w:val="center"/>
              <w:rPr>
                <w:rFonts w:hint="eastAsia" w:cs="Arial"/>
                <w:szCs w:val="21"/>
              </w:rPr>
            </w:pPr>
          </w:p>
        </w:tc>
        <w:tc>
          <w:tcPr>
            <w:tcW w:w="2413" w:type="dxa"/>
            <w:vAlign w:val="center"/>
          </w:tcPr>
          <w:p w14:paraId="6B6E909D">
            <w:pPr>
              <w:ind w:firstLine="420"/>
              <w:contextualSpacing/>
              <w:jc w:val="center"/>
              <w:rPr>
                <w:rFonts w:hint="eastAsia" w:cs="Arial"/>
                <w:szCs w:val="21"/>
              </w:rPr>
            </w:pPr>
          </w:p>
        </w:tc>
        <w:tc>
          <w:tcPr>
            <w:tcW w:w="3082" w:type="dxa"/>
            <w:vAlign w:val="center"/>
          </w:tcPr>
          <w:p w14:paraId="0BAEB706">
            <w:pPr>
              <w:ind w:firstLine="420"/>
              <w:contextualSpacing/>
              <w:jc w:val="center"/>
              <w:rPr>
                <w:rFonts w:hint="eastAsia" w:cs="Arial"/>
                <w:szCs w:val="21"/>
              </w:rPr>
            </w:pPr>
          </w:p>
        </w:tc>
      </w:tr>
      <w:tr w14:paraId="0DF3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44397A8">
            <w:pPr>
              <w:ind w:firstLine="420"/>
              <w:contextualSpacing/>
              <w:jc w:val="center"/>
              <w:rPr>
                <w:rFonts w:hint="eastAsia" w:cs="Arial"/>
                <w:szCs w:val="21"/>
              </w:rPr>
            </w:pPr>
          </w:p>
        </w:tc>
        <w:tc>
          <w:tcPr>
            <w:tcW w:w="1875" w:type="dxa"/>
            <w:vAlign w:val="center"/>
          </w:tcPr>
          <w:p w14:paraId="501DCA7E">
            <w:pPr>
              <w:ind w:firstLine="420"/>
              <w:contextualSpacing/>
              <w:jc w:val="center"/>
              <w:rPr>
                <w:rFonts w:hint="eastAsia" w:cs="Arial"/>
                <w:szCs w:val="21"/>
              </w:rPr>
            </w:pPr>
          </w:p>
        </w:tc>
        <w:tc>
          <w:tcPr>
            <w:tcW w:w="1232" w:type="dxa"/>
            <w:vAlign w:val="center"/>
          </w:tcPr>
          <w:p w14:paraId="21EE2209">
            <w:pPr>
              <w:ind w:firstLine="420"/>
              <w:contextualSpacing/>
              <w:jc w:val="center"/>
              <w:rPr>
                <w:rFonts w:hint="eastAsia" w:cs="Arial"/>
                <w:szCs w:val="21"/>
              </w:rPr>
            </w:pPr>
          </w:p>
        </w:tc>
        <w:tc>
          <w:tcPr>
            <w:tcW w:w="2413" w:type="dxa"/>
            <w:vAlign w:val="center"/>
          </w:tcPr>
          <w:p w14:paraId="479C7A14">
            <w:pPr>
              <w:ind w:firstLine="420"/>
              <w:contextualSpacing/>
              <w:jc w:val="center"/>
              <w:rPr>
                <w:rFonts w:hint="eastAsia" w:cs="Arial"/>
                <w:szCs w:val="21"/>
              </w:rPr>
            </w:pPr>
          </w:p>
        </w:tc>
        <w:tc>
          <w:tcPr>
            <w:tcW w:w="3082" w:type="dxa"/>
            <w:vAlign w:val="center"/>
          </w:tcPr>
          <w:p w14:paraId="59041DB1">
            <w:pPr>
              <w:ind w:firstLine="420"/>
              <w:contextualSpacing/>
              <w:jc w:val="center"/>
              <w:rPr>
                <w:rFonts w:hint="eastAsia" w:cs="Arial"/>
                <w:szCs w:val="21"/>
              </w:rPr>
            </w:pPr>
          </w:p>
        </w:tc>
      </w:tr>
      <w:tr w14:paraId="551F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62D649A4">
            <w:pPr>
              <w:ind w:firstLine="420"/>
              <w:contextualSpacing/>
              <w:jc w:val="center"/>
              <w:rPr>
                <w:rFonts w:hint="eastAsia" w:cs="Arial"/>
                <w:szCs w:val="21"/>
              </w:rPr>
            </w:pPr>
          </w:p>
        </w:tc>
        <w:tc>
          <w:tcPr>
            <w:tcW w:w="1875" w:type="dxa"/>
            <w:vAlign w:val="center"/>
          </w:tcPr>
          <w:p w14:paraId="51D416D5">
            <w:pPr>
              <w:ind w:firstLine="420"/>
              <w:contextualSpacing/>
              <w:jc w:val="center"/>
              <w:rPr>
                <w:rFonts w:hint="eastAsia" w:cs="Arial"/>
                <w:szCs w:val="21"/>
              </w:rPr>
            </w:pPr>
          </w:p>
        </w:tc>
        <w:tc>
          <w:tcPr>
            <w:tcW w:w="1232" w:type="dxa"/>
            <w:vAlign w:val="center"/>
          </w:tcPr>
          <w:p w14:paraId="507CC5B1">
            <w:pPr>
              <w:ind w:firstLine="420"/>
              <w:contextualSpacing/>
              <w:jc w:val="center"/>
              <w:rPr>
                <w:rFonts w:hint="eastAsia" w:cs="Arial"/>
                <w:szCs w:val="21"/>
              </w:rPr>
            </w:pPr>
          </w:p>
        </w:tc>
        <w:tc>
          <w:tcPr>
            <w:tcW w:w="2413" w:type="dxa"/>
            <w:vAlign w:val="center"/>
          </w:tcPr>
          <w:p w14:paraId="5DB8E8BF">
            <w:pPr>
              <w:ind w:firstLine="420"/>
              <w:contextualSpacing/>
              <w:jc w:val="center"/>
              <w:rPr>
                <w:rFonts w:hint="eastAsia" w:cs="Arial"/>
                <w:szCs w:val="21"/>
              </w:rPr>
            </w:pPr>
          </w:p>
        </w:tc>
        <w:tc>
          <w:tcPr>
            <w:tcW w:w="3082" w:type="dxa"/>
            <w:vAlign w:val="center"/>
          </w:tcPr>
          <w:p w14:paraId="19C5D23D">
            <w:pPr>
              <w:ind w:firstLine="420"/>
              <w:contextualSpacing/>
              <w:jc w:val="center"/>
              <w:rPr>
                <w:rFonts w:hint="eastAsia" w:cs="Arial"/>
                <w:szCs w:val="21"/>
              </w:rPr>
            </w:pPr>
          </w:p>
        </w:tc>
      </w:tr>
      <w:tr w14:paraId="73B0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676FA98">
            <w:pPr>
              <w:ind w:firstLine="420"/>
              <w:contextualSpacing/>
              <w:jc w:val="center"/>
              <w:rPr>
                <w:rFonts w:hint="eastAsia" w:cs="Arial"/>
                <w:szCs w:val="21"/>
              </w:rPr>
            </w:pPr>
          </w:p>
        </w:tc>
        <w:tc>
          <w:tcPr>
            <w:tcW w:w="1875" w:type="dxa"/>
            <w:vAlign w:val="center"/>
          </w:tcPr>
          <w:p w14:paraId="3D786FC3">
            <w:pPr>
              <w:ind w:firstLine="420"/>
              <w:contextualSpacing/>
              <w:jc w:val="center"/>
              <w:rPr>
                <w:rFonts w:hint="eastAsia" w:cs="Arial"/>
                <w:szCs w:val="21"/>
              </w:rPr>
            </w:pPr>
          </w:p>
        </w:tc>
        <w:tc>
          <w:tcPr>
            <w:tcW w:w="1232" w:type="dxa"/>
            <w:vAlign w:val="center"/>
          </w:tcPr>
          <w:p w14:paraId="50645DD0">
            <w:pPr>
              <w:ind w:firstLine="420"/>
              <w:contextualSpacing/>
              <w:jc w:val="center"/>
              <w:rPr>
                <w:rFonts w:hint="eastAsia" w:cs="Arial"/>
                <w:szCs w:val="21"/>
              </w:rPr>
            </w:pPr>
          </w:p>
        </w:tc>
        <w:tc>
          <w:tcPr>
            <w:tcW w:w="2413" w:type="dxa"/>
            <w:vAlign w:val="center"/>
          </w:tcPr>
          <w:p w14:paraId="356FC377">
            <w:pPr>
              <w:ind w:firstLine="420"/>
              <w:contextualSpacing/>
              <w:jc w:val="center"/>
              <w:rPr>
                <w:rFonts w:hint="eastAsia" w:cs="Arial"/>
                <w:szCs w:val="21"/>
              </w:rPr>
            </w:pPr>
          </w:p>
        </w:tc>
        <w:tc>
          <w:tcPr>
            <w:tcW w:w="3082" w:type="dxa"/>
            <w:vAlign w:val="center"/>
          </w:tcPr>
          <w:p w14:paraId="1BAA69F9">
            <w:pPr>
              <w:ind w:firstLine="420"/>
              <w:contextualSpacing/>
              <w:jc w:val="center"/>
              <w:rPr>
                <w:rFonts w:hint="eastAsia" w:cs="Arial"/>
                <w:szCs w:val="21"/>
              </w:rPr>
            </w:pPr>
          </w:p>
        </w:tc>
      </w:tr>
      <w:tr w14:paraId="4298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BFBFE02">
            <w:pPr>
              <w:ind w:firstLine="420"/>
              <w:contextualSpacing/>
              <w:jc w:val="center"/>
              <w:rPr>
                <w:rFonts w:hint="eastAsia" w:cs="Arial"/>
                <w:szCs w:val="21"/>
              </w:rPr>
            </w:pPr>
          </w:p>
        </w:tc>
        <w:tc>
          <w:tcPr>
            <w:tcW w:w="1875" w:type="dxa"/>
            <w:vAlign w:val="center"/>
          </w:tcPr>
          <w:p w14:paraId="1D4C6E11">
            <w:pPr>
              <w:ind w:firstLine="420"/>
              <w:contextualSpacing/>
              <w:jc w:val="center"/>
              <w:rPr>
                <w:rFonts w:hint="eastAsia" w:cs="Arial"/>
                <w:szCs w:val="21"/>
              </w:rPr>
            </w:pPr>
          </w:p>
        </w:tc>
        <w:tc>
          <w:tcPr>
            <w:tcW w:w="1232" w:type="dxa"/>
            <w:vAlign w:val="center"/>
          </w:tcPr>
          <w:p w14:paraId="182745C4">
            <w:pPr>
              <w:ind w:firstLine="420"/>
              <w:contextualSpacing/>
              <w:jc w:val="center"/>
              <w:rPr>
                <w:rFonts w:hint="eastAsia" w:cs="Arial"/>
                <w:szCs w:val="21"/>
              </w:rPr>
            </w:pPr>
          </w:p>
        </w:tc>
        <w:tc>
          <w:tcPr>
            <w:tcW w:w="2413" w:type="dxa"/>
            <w:vAlign w:val="center"/>
          </w:tcPr>
          <w:p w14:paraId="35AC1D89">
            <w:pPr>
              <w:ind w:firstLine="420"/>
              <w:contextualSpacing/>
              <w:jc w:val="center"/>
              <w:rPr>
                <w:rFonts w:hint="eastAsia" w:cs="Arial"/>
                <w:szCs w:val="21"/>
              </w:rPr>
            </w:pPr>
          </w:p>
        </w:tc>
        <w:tc>
          <w:tcPr>
            <w:tcW w:w="3082" w:type="dxa"/>
            <w:vAlign w:val="center"/>
          </w:tcPr>
          <w:p w14:paraId="26F5E67D">
            <w:pPr>
              <w:ind w:firstLine="420"/>
              <w:contextualSpacing/>
              <w:jc w:val="center"/>
              <w:rPr>
                <w:rFonts w:hint="eastAsia" w:cs="Arial"/>
                <w:szCs w:val="21"/>
              </w:rPr>
            </w:pPr>
          </w:p>
        </w:tc>
      </w:tr>
      <w:tr w14:paraId="1924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60622D5F">
            <w:pPr>
              <w:ind w:firstLine="420"/>
              <w:contextualSpacing/>
              <w:jc w:val="center"/>
              <w:rPr>
                <w:rFonts w:hint="eastAsia" w:cs="Arial"/>
                <w:szCs w:val="21"/>
              </w:rPr>
            </w:pPr>
          </w:p>
        </w:tc>
        <w:tc>
          <w:tcPr>
            <w:tcW w:w="1875" w:type="dxa"/>
            <w:vAlign w:val="center"/>
          </w:tcPr>
          <w:p w14:paraId="3173757F">
            <w:pPr>
              <w:ind w:firstLine="420"/>
              <w:contextualSpacing/>
              <w:jc w:val="center"/>
              <w:rPr>
                <w:rFonts w:hint="eastAsia" w:cs="Arial"/>
                <w:szCs w:val="21"/>
              </w:rPr>
            </w:pPr>
          </w:p>
        </w:tc>
        <w:tc>
          <w:tcPr>
            <w:tcW w:w="1232" w:type="dxa"/>
            <w:vAlign w:val="center"/>
          </w:tcPr>
          <w:p w14:paraId="356F56C3">
            <w:pPr>
              <w:ind w:firstLine="420"/>
              <w:contextualSpacing/>
              <w:jc w:val="center"/>
              <w:rPr>
                <w:rFonts w:hint="eastAsia" w:cs="Arial"/>
                <w:szCs w:val="21"/>
              </w:rPr>
            </w:pPr>
          </w:p>
        </w:tc>
        <w:tc>
          <w:tcPr>
            <w:tcW w:w="2413" w:type="dxa"/>
            <w:vAlign w:val="center"/>
          </w:tcPr>
          <w:p w14:paraId="0B605793">
            <w:pPr>
              <w:ind w:firstLine="420"/>
              <w:contextualSpacing/>
              <w:jc w:val="center"/>
              <w:rPr>
                <w:rFonts w:hint="eastAsia" w:cs="Arial"/>
                <w:szCs w:val="21"/>
              </w:rPr>
            </w:pPr>
          </w:p>
        </w:tc>
        <w:tc>
          <w:tcPr>
            <w:tcW w:w="3082" w:type="dxa"/>
            <w:vAlign w:val="center"/>
          </w:tcPr>
          <w:p w14:paraId="0A0C68FD">
            <w:pPr>
              <w:ind w:firstLine="420"/>
              <w:contextualSpacing/>
              <w:jc w:val="center"/>
              <w:rPr>
                <w:rFonts w:hint="eastAsia" w:cs="Arial"/>
                <w:szCs w:val="21"/>
              </w:rPr>
            </w:pPr>
          </w:p>
        </w:tc>
      </w:tr>
      <w:tr w14:paraId="3990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4ED91A8">
            <w:pPr>
              <w:ind w:firstLine="420"/>
              <w:contextualSpacing/>
              <w:jc w:val="center"/>
              <w:rPr>
                <w:rFonts w:hint="eastAsia" w:cs="Arial"/>
                <w:szCs w:val="21"/>
              </w:rPr>
            </w:pPr>
          </w:p>
        </w:tc>
        <w:tc>
          <w:tcPr>
            <w:tcW w:w="1875" w:type="dxa"/>
            <w:vAlign w:val="center"/>
          </w:tcPr>
          <w:p w14:paraId="48F994B3">
            <w:pPr>
              <w:ind w:firstLine="420"/>
              <w:contextualSpacing/>
              <w:jc w:val="center"/>
              <w:rPr>
                <w:rFonts w:hint="eastAsia" w:cs="Arial"/>
                <w:szCs w:val="21"/>
              </w:rPr>
            </w:pPr>
          </w:p>
        </w:tc>
        <w:tc>
          <w:tcPr>
            <w:tcW w:w="1232" w:type="dxa"/>
            <w:vAlign w:val="center"/>
          </w:tcPr>
          <w:p w14:paraId="29CA797C">
            <w:pPr>
              <w:ind w:firstLine="420"/>
              <w:contextualSpacing/>
              <w:jc w:val="center"/>
              <w:rPr>
                <w:rFonts w:hint="eastAsia" w:cs="Arial"/>
                <w:szCs w:val="21"/>
              </w:rPr>
            </w:pPr>
          </w:p>
        </w:tc>
        <w:tc>
          <w:tcPr>
            <w:tcW w:w="2413" w:type="dxa"/>
            <w:vAlign w:val="center"/>
          </w:tcPr>
          <w:p w14:paraId="57A35772">
            <w:pPr>
              <w:ind w:firstLine="420"/>
              <w:contextualSpacing/>
              <w:jc w:val="center"/>
              <w:rPr>
                <w:rFonts w:hint="eastAsia" w:cs="Arial"/>
                <w:szCs w:val="21"/>
              </w:rPr>
            </w:pPr>
          </w:p>
        </w:tc>
        <w:tc>
          <w:tcPr>
            <w:tcW w:w="3082" w:type="dxa"/>
            <w:vAlign w:val="center"/>
          </w:tcPr>
          <w:p w14:paraId="305EA29B">
            <w:pPr>
              <w:ind w:firstLine="420"/>
              <w:contextualSpacing/>
              <w:jc w:val="center"/>
              <w:rPr>
                <w:rFonts w:hint="eastAsia" w:cs="Arial"/>
                <w:szCs w:val="21"/>
              </w:rPr>
            </w:pPr>
          </w:p>
        </w:tc>
      </w:tr>
      <w:tr w14:paraId="52C2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7048561">
            <w:pPr>
              <w:ind w:firstLine="420"/>
              <w:contextualSpacing/>
              <w:jc w:val="center"/>
              <w:rPr>
                <w:rFonts w:hint="eastAsia" w:cs="Arial"/>
                <w:szCs w:val="21"/>
              </w:rPr>
            </w:pPr>
          </w:p>
        </w:tc>
        <w:tc>
          <w:tcPr>
            <w:tcW w:w="1875" w:type="dxa"/>
            <w:vAlign w:val="center"/>
          </w:tcPr>
          <w:p w14:paraId="537D88C5">
            <w:pPr>
              <w:ind w:firstLine="420"/>
              <w:contextualSpacing/>
              <w:jc w:val="center"/>
              <w:rPr>
                <w:rFonts w:hint="eastAsia" w:cs="Arial"/>
                <w:szCs w:val="21"/>
              </w:rPr>
            </w:pPr>
          </w:p>
        </w:tc>
        <w:tc>
          <w:tcPr>
            <w:tcW w:w="1232" w:type="dxa"/>
            <w:vAlign w:val="center"/>
          </w:tcPr>
          <w:p w14:paraId="11F4BFB1">
            <w:pPr>
              <w:ind w:firstLine="420"/>
              <w:contextualSpacing/>
              <w:jc w:val="center"/>
              <w:rPr>
                <w:rFonts w:hint="eastAsia" w:cs="Arial"/>
                <w:szCs w:val="21"/>
              </w:rPr>
            </w:pPr>
          </w:p>
        </w:tc>
        <w:tc>
          <w:tcPr>
            <w:tcW w:w="2413" w:type="dxa"/>
            <w:vAlign w:val="center"/>
          </w:tcPr>
          <w:p w14:paraId="756A9FC5">
            <w:pPr>
              <w:ind w:firstLine="420"/>
              <w:contextualSpacing/>
              <w:jc w:val="center"/>
              <w:rPr>
                <w:rFonts w:hint="eastAsia" w:cs="Arial"/>
                <w:szCs w:val="21"/>
              </w:rPr>
            </w:pPr>
          </w:p>
        </w:tc>
        <w:tc>
          <w:tcPr>
            <w:tcW w:w="3082" w:type="dxa"/>
            <w:vAlign w:val="center"/>
          </w:tcPr>
          <w:p w14:paraId="16804ACB">
            <w:pPr>
              <w:ind w:firstLine="420"/>
              <w:contextualSpacing/>
              <w:jc w:val="center"/>
              <w:rPr>
                <w:rFonts w:hint="eastAsia" w:cs="Arial"/>
                <w:szCs w:val="21"/>
              </w:rPr>
            </w:pPr>
          </w:p>
        </w:tc>
      </w:tr>
      <w:tr w14:paraId="0ACE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7BB50B56">
            <w:pPr>
              <w:ind w:firstLine="420"/>
              <w:contextualSpacing/>
              <w:jc w:val="center"/>
              <w:rPr>
                <w:rFonts w:hint="eastAsia" w:cs="Arial"/>
                <w:szCs w:val="21"/>
              </w:rPr>
            </w:pPr>
          </w:p>
        </w:tc>
        <w:tc>
          <w:tcPr>
            <w:tcW w:w="1875" w:type="dxa"/>
            <w:vAlign w:val="center"/>
          </w:tcPr>
          <w:p w14:paraId="6B80D8B4">
            <w:pPr>
              <w:ind w:firstLine="420"/>
              <w:contextualSpacing/>
              <w:jc w:val="center"/>
              <w:rPr>
                <w:rFonts w:hint="eastAsia" w:cs="Arial"/>
                <w:szCs w:val="21"/>
              </w:rPr>
            </w:pPr>
          </w:p>
        </w:tc>
        <w:tc>
          <w:tcPr>
            <w:tcW w:w="1232" w:type="dxa"/>
            <w:vAlign w:val="center"/>
          </w:tcPr>
          <w:p w14:paraId="490651F9">
            <w:pPr>
              <w:ind w:firstLine="420"/>
              <w:contextualSpacing/>
              <w:jc w:val="center"/>
              <w:rPr>
                <w:rFonts w:hint="eastAsia" w:cs="Arial"/>
                <w:szCs w:val="21"/>
              </w:rPr>
            </w:pPr>
          </w:p>
        </w:tc>
        <w:tc>
          <w:tcPr>
            <w:tcW w:w="2413" w:type="dxa"/>
            <w:vAlign w:val="center"/>
          </w:tcPr>
          <w:p w14:paraId="12839C8B">
            <w:pPr>
              <w:ind w:firstLine="420"/>
              <w:contextualSpacing/>
              <w:jc w:val="center"/>
              <w:rPr>
                <w:rFonts w:hint="eastAsia" w:cs="Arial"/>
                <w:szCs w:val="21"/>
              </w:rPr>
            </w:pPr>
          </w:p>
        </w:tc>
        <w:tc>
          <w:tcPr>
            <w:tcW w:w="3082" w:type="dxa"/>
            <w:vAlign w:val="center"/>
          </w:tcPr>
          <w:p w14:paraId="5E19473A">
            <w:pPr>
              <w:ind w:firstLine="420"/>
              <w:contextualSpacing/>
              <w:jc w:val="center"/>
              <w:rPr>
                <w:rFonts w:hint="eastAsia" w:cs="Arial"/>
                <w:szCs w:val="21"/>
              </w:rPr>
            </w:pPr>
          </w:p>
        </w:tc>
      </w:tr>
      <w:tr w14:paraId="1147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B747E48">
            <w:pPr>
              <w:ind w:firstLine="420"/>
              <w:contextualSpacing/>
              <w:jc w:val="center"/>
              <w:rPr>
                <w:rFonts w:hint="eastAsia" w:cs="Arial"/>
                <w:szCs w:val="21"/>
              </w:rPr>
            </w:pPr>
          </w:p>
        </w:tc>
        <w:tc>
          <w:tcPr>
            <w:tcW w:w="1875" w:type="dxa"/>
            <w:vAlign w:val="center"/>
          </w:tcPr>
          <w:p w14:paraId="2F1D4B93">
            <w:pPr>
              <w:ind w:firstLine="420"/>
              <w:contextualSpacing/>
              <w:jc w:val="center"/>
              <w:rPr>
                <w:rFonts w:hint="eastAsia" w:cs="Arial"/>
                <w:szCs w:val="21"/>
              </w:rPr>
            </w:pPr>
          </w:p>
        </w:tc>
        <w:tc>
          <w:tcPr>
            <w:tcW w:w="1232" w:type="dxa"/>
            <w:vAlign w:val="center"/>
          </w:tcPr>
          <w:p w14:paraId="11E921D1">
            <w:pPr>
              <w:ind w:firstLine="420"/>
              <w:contextualSpacing/>
              <w:jc w:val="center"/>
              <w:rPr>
                <w:rFonts w:hint="eastAsia" w:cs="Arial"/>
                <w:szCs w:val="21"/>
              </w:rPr>
            </w:pPr>
          </w:p>
        </w:tc>
        <w:tc>
          <w:tcPr>
            <w:tcW w:w="2413" w:type="dxa"/>
            <w:vAlign w:val="center"/>
          </w:tcPr>
          <w:p w14:paraId="37C3197B">
            <w:pPr>
              <w:ind w:firstLine="420"/>
              <w:contextualSpacing/>
              <w:jc w:val="center"/>
              <w:rPr>
                <w:rFonts w:hint="eastAsia" w:cs="Arial"/>
                <w:szCs w:val="21"/>
              </w:rPr>
            </w:pPr>
          </w:p>
        </w:tc>
        <w:tc>
          <w:tcPr>
            <w:tcW w:w="3082" w:type="dxa"/>
            <w:vAlign w:val="center"/>
          </w:tcPr>
          <w:p w14:paraId="52B55342">
            <w:pPr>
              <w:ind w:firstLine="420"/>
              <w:contextualSpacing/>
              <w:jc w:val="center"/>
              <w:rPr>
                <w:rFonts w:hint="eastAsia" w:cs="Arial"/>
                <w:szCs w:val="21"/>
              </w:rPr>
            </w:pPr>
          </w:p>
        </w:tc>
      </w:tr>
      <w:tr w14:paraId="2849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D923E11">
            <w:pPr>
              <w:ind w:firstLine="420"/>
              <w:contextualSpacing/>
              <w:jc w:val="center"/>
              <w:rPr>
                <w:rFonts w:hint="eastAsia" w:cs="Arial"/>
                <w:szCs w:val="21"/>
              </w:rPr>
            </w:pPr>
          </w:p>
        </w:tc>
        <w:tc>
          <w:tcPr>
            <w:tcW w:w="1875" w:type="dxa"/>
            <w:vAlign w:val="center"/>
          </w:tcPr>
          <w:p w14:paraId="3E63D370">
            <w:pPr>
              <w:ind w:firstLine="420"/>
              <w:contextualSpacing/>
              <w:jc w:val="center"/>
              <w:rPr>
                <w:rFonts w:hint="eastAsia" w:cs="Arial"/>
                <w:szCs w:val="21"/>
              </w:rPr>
            </w:pPr>
          </w:p>
        </w:tc>
        <w:tc>
          <w:tcPr>
            <w:tcW w:w="1232" w:type="dxa"/>
            <w:vAlign w:val="center"/>
          </w:tcPr>
          <w:p w14:paraId="16B3518C">
            <w:pPr>
              <w:ind w:firstLine="420"/>
              <w:contextualSpacing/>
              <w:jc w:val="center"/>
              <w:rPr>
                <w:rFonts w:hint="eastAsia" w:cs="Arial"/>
                <w:szCs w:val="21"/>
              </w:rPr>
            </w:pPr>
          </w:p>
        </w:tc>
        <w:tc>
          <w:tcPr>
            <w:tcW w:w="2413" w:type="dxa"/>
            <w:vAlign w:val="center"/>
          </w:tcPr>
          <w:p w14:paraId="784C23E0">
            <w:pPr>
              <w:ind w:firstLine="420"/>
              <w:contextualSpacing/>
              <w:jc w:val="center"/>
              <w:rPr>
                <w:rFonts w:hint="eastAsia" w:cs="Arial"/>
                <w:szCs w:val="21"/>
              </w:rPr>
            </w:pPr>
          </w:p>
        </w:tc>
        <w:tc>
          <w:tcPr>
            <w:tcW w:w="3082" w:type="dxa"/>
            <w:vAlign w:val="center"/>
          </w:tcPr>
          <w:p w14:paraId="1C09352C">
            <w:pPr>
              <w:ind w:firstLine="420"/>
              <w:contextualSpacing/>
              <w:jc w:val="center"/>
              <w:rPr>
                <w:rFonts w:hint="eastAsia" w:cs="Arial"/>
                <w:szCs w:val="21"/>
              </w:rPr>
            </w:pPr>
          </w:p>
        </w:tc>
      </w:tr>
    </w:tbl>
    <w:p w14:paraId="2CE2AB66">
      <w:pPr>
        <w:ind w:firstLine="420"/>
        <w:contextualSpacing/>
        <w:rPr>
          <w:rFonts w:hint="eastAsia" w:cs="Arial"/>
          <w:szCs w:val="21"/>
        </w:rPr>
        <w:sectPr>
          <w:headerReference r:id="rId11" w:type="default"/>
          <w:pgSz w:w="11911" w:h="16838"/>
          <w:pgMar w:top="851" w:right="851" w:bottom="851" w:left="851" w:header="113" w:footer="510" w:gutter="0"/>
          <w:cols w:space="0" w:num="1"/>
          <w:docGrid w:linePitch="326" w:charSpace="0"/>
        </w:sectPr>
      </w:pPr>
    </w:p>
    <w:sdt>
      <w:sdtPr>
        <w:id w:val="147471789"/>
        <w15:color w:val="DBDBDB"/>
        <w:docPartObj>
          <w:docPartGallery w:val="Table of Contents"/>
          <w:docPartUnique/>
        </w:docPartObj>
      </w:sdtPr>
      <w:sdtEndPr>
        <w:rPr>
          <w:szCs w:val="21"/>
        </w:rPr>
      </w:sdtEndPr>
      <w:sdtContent>
        <w:p w14:paraId="0ED621FA">
          <w:pPr>
            <w:spacing w:line="240" w:lineRule="auto"/>
            <w:ind w:firstLine="0" w:firstLineChars="0"/>
            <w:jc w:val="center"/>
            <w:rPr>
              <w:rFonts w:hint="eastAsia"/>
              <w:b/>
              <w:bCs/>
              <w:sz w:val="28"/>
              <w:szCs w:val="32"/>
            </w:rPr>
          </w:pPr>
          <w:bookmarkStart w:id="2" w:name="_Toc205390512"/>
          <w:bookmarkStart w:id="3" w:name="_Toc200873874"/>
          <w:bookmarkStart w:id="4" w:name="_Toc200875062"/>
          <w:bookmarkStart w:id="5" w:name="_Toc200873933"/>
          <w:bookmarkStart w:id="6" w:name="_Hlk200869530"/>
          <w:r>
            <w:rPr>
              <w:b/>
              <w:bCs/>
              <w:sz w:val="28"/>
              <w:szCs w:val="32"/>
            </w:rPr>
            <w:t>目录</w:t>
          </w:r>
        </w:p>
        <w:p w14:paraId="47E236F5">
          <w:pPr>
            <w:pStyle w:val="9"/>
            <w:tabs>
              <w:tab w:val="right" w:leader="dot" w:pos="10203"/>
            </w:tabs>
            <w:ind w:firstLine="420"/>
            <w:rPr>
              <w:rFonts w:hint="eastAsia"/>
              <w:szCs w:val="21"/>
            </w:rPr>
          </w:pPr>
          <w:r>
            <w:rPr>
              <w:szCs w:val="21"/>
            </w:rPr>
            <w:fldChar w:fldCharType="begin"/>
          </w:r>
          <w:r>
            <w:rPr>
              <w:szCs w:val="21"/>
            </w:rPr>
            <w:instrText xml:space="preserve">TOC \o "1-2" \h \u </w:instrText>
          </w:r>
          <w:r>
            <w:rPr>
              <w:szCs w:val="21"/>
            </w:rPr>
            <w:fldChar w:fldCharType="separate"/>
          </w:r>
          <w:r>
            <w:fldChar w:fldCharType="begin"/>
          </w:r>
          <w:r>
            <w:instrText xml:space="preserve"> HYPERLINK \l "_Toc4301" </w:instrText>
          </w:r>
          <w:r>
            <w:fldChar w:fldCharType="separate"/>
          </w:r>
          <w:r>
            <w:rPr>
              <w:rFonts w:hint="eastAsia"/>
              <w:szCs w:val="21"/>
            </w:rPr>
            <w:t xml:space="preserve">1 </w:t>
          </w:r>
          <w:r>
            <w:rPr>
              <w:szCs w:val="21"/>
            </w:rPr>
            <w:t>目的和适用范围</w:t>
          </w:r>
          <w:r>
            <w:rPr>
              <w:szCs w:val="21"/>
            </w:rPr>
            <w:tab/>
          </w:r>
          <w:r>
            <w:rPr>
              <w:szCs w:val="21"/>
            </w:rPr>
            <w:fldChar w:fldCharType="begin"/>
          </w:r>
          <w:r>
            <w:rPr>
              <w:szCs w:val="21"/>
            </w:rPr>
            <w:instrText xml:space="preserve"> PAGEREF _Toc4301 \h </w:instrText>
          </w:r>
          <w:r>
            <w:rPr>
              <w:szCs w:val="21"/>
            </w:rPr>
            <w:fldChar w:fldCharType="separate"/>
          </w:r>
          <w:r>
            <w:rPr>
              <w:rFonts w:hint="eastAsia"/>
              <w:szCs w:val="21"/>
            </w:rPr>
            <w:t>1</w:t>
          </w:r>
          <w:r>
            <w:rPr>
              <w:szCs w:val="21"/>
            </w:rPr>
            <w:fldChar w:fldCharType="end"/>
          </w:r>
          <w:r>
            <w:rPr>
              <w:szCs w:val="21"/>
            </w:rPr>
            <w:fldChar w:fldCharType="end"/>
          </w:r>
        </w:p>
        <w:p w14:paraId="4C632540">
          <w:pPr>
            <w:pStyle w:val="9"/>
            <w:tabs>
              <w:tab w:val="right" w:leader="dot" w:pos="10203"/>
            </w:tabs>
            <w:ind w:firstLine="420"/>
            <w:rPr>
              <w:rFonts w:hint="eastAsia"/>
              <w:szCs w:val="21"/>
            </w:rPr>
          </w:pPr>
          <w:r>
            <w:fldChar w:fldCharType="begin"/>
          </w:r>
          <w:r>
            <w:instrText xml:space="preserve"> HYPERLINK \l "_Toc17657" </w:instrText>
          </w:r>
          <w:r>
            <w:fldChar w:fldCharType="separate"/>
          </w:r>
          <w:r>
            <w:rPr>
              <w:rFonts w:hint="eastAsia"/>
              <w:szCs w:val="21"/>
            </w:rPr>
            <w:t>2 引用文件和认证依据</w:t>
          </w:r>
          <w:r>
            <w:rPr>
              <w:szCs w:val="21"/>
            </w:rPr>
            <w:tab/>
          </w:r>
          <w:r>
            <w:rPr>
              <w:szCs w:val="21"/>
            </w:rPr>
            <w:fldChar w:fldCharType="begin"/>
          </w:r>
          <w:r>
            <w:rPr>
              <w:szCs w:val="21"/>
            </w:rPr>
            <w:instrText xml:space="preserve"> PAGEREF _Toc17657 \h </w:instrText>
          </w:r>
          <w:r>
            <w:rPr>
              <w:szCs w:val="21"/>
            </w:rPr>
            <w:fldChar w:fldCharType="separate"/>
          </w:r>
          <w:r>
            <w:rPr>
              <w:rFonts w:hint="eastAsia"/>
              <w:szCs w:val="21"/>
            </w:rPr>
            <w:t>1</w:t>
          </w:r>
          <w:r>
            <w:rPr>
              <w:szCs w:val="21"/>
            </w:rPr>
            <w:fldChar w:fldCharType="end"/>
          </w:r>
          <w:r>
            <w:rPr>
              <w:szCs w:val="21"/>
            </w:rPr>
            <w:fldChar w:fldCharType="end"/>
          </w:r>
        </w:p>
        <w:p w14:paraId="1298F6B3">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"_Toc31695" </w:instrText>
          </w:r>
          <w:r>
            <w:fldChar w:fldCharType="separate"/>
          </w:r>
          <w:r>
            <w:rPr>
              <w:rFonts w:hint="eastAsia" w:cs="Times New Roman"/>
              <w:b w:val="0"/>
              <w:bCs w:val="0"/>
              <w:sz w:val="21"/>
              <w:szCs w:val="21"/>
            </w:rPr>
            <w:t>2.1引用文件</w:t>
          </w:r>
          <w:r>
            <w:rPr>
              <w:b w:val="0"/>
              <w:bCs w:val="0"/>
              <w:sz w:val="21"/>
              <w:szCs w:val="21"/>
            </w:rPr>
            <w:tab/>
          </w:r>
          <w:r>
            <w:rPr>
              <w:b w:val="0"/>
              <w:bCs w:val="0"/>
              <w:sz w:val="21"/>
              <w:szCs w:val="21"/>
            </w:rPr>
            <w:fldChar w:fldCharType="begin"/>
          </w:r>
          <w:r>
            <w:rPr>
              <w:b w:val="0"/>
              <w:bCs w:val="0"/>
              <w:sz w:val="21"/>
              <w:szCs w:val="21"/>
            </w:rPr>
            <w:instrText xml:space="preserve"> PAGEREF _Toc31695 \h </w:instrText>
          </w:r>
          <w:r>
            <w:rPr>
              <w:b w:val="0"/>
              <w:bCs w:val="0"/>
              <w:sz w:val="21"/>
              <w:szCs w:val="21"/>
            </w:rPr>
            <w:fldChar w:fldCharType="separate"/>
          </w:r>
          <w:r>
            <w:rPr>
              <w:rFonts w:hint="eastAsia"/>
              <w:b w:val="0"/>
              <w:bCs w:val="0"/>
              <w:sz w:val="21"/>
              <w:szCs w:val="21"/>
            </w:rPr>
            <w:t>1</w:t>
          </w:r>
          <w:r>
            <w:rPr>
              <w:b w:val="0"/>
              <w:bCs w:val="0"/>
              <w:sz w:val="21"/>
              <w:szCs w:val="21"/>
            </w:rPr>
            <w:fldChar w:fldCharType="end"/>
          </w:r>
          <w:r>
            <w:rPr>
              <w:b w:val="0"/>
              <w:bCs w:val="0"/>
              <w:sz w:val="21"/>
              <w:szCs w:val="21"/>
            </w:rPr>
            <w:fldChar w:fldCharType="end"/>
          </w:r>
        </w:p>
        <w:p w14:paraId="113CDA77">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"_Toc16426" </w:instrText>
          </w:r>
          <w:r>
            <w:fldChar w:fldCharType="separate"/>
          </w:r>
          <w:r>
            <w:rPr>
              <w:rFonts w:hint="eastAsia" w:cs="Times New Roman"/>
              <w:b w:val="0"/>
              <w:bCs w:val="0"/>
              <w:sz w:val="21"/>
              <w:szCs w:val="21"/>
            </w:rPr>
            <w:t>2.2 认证依据</w:t>
          </w:r>
          <w:r>
            <w:rPr>
              <w:b w:val="0"/>
              <w:bCs w:val="0"/>
              <w:sz w:val="21"/>
              <w:szCs w:val="21"/>
            </w:rPr>
            <w:tab/>
          </w:r>
          <w:r>
            <w:rPr>
              <w:b w:val="0"/>
              <w:bCs w:val="0"/>
              <w:sz w:val="21"/>
              <w:szCs w:val="21"/>
            </w:rPr>
            <w:fldChar w:fldCharType="begin"/>
          </w:r>
          <w:r>
            <w:rPr>
              <w:b w:val="0"/>
              <w:bCs w:val="0"/>
              <w:sz w:val="21"/>
              <w:szCs w:val="21"/>
            </w:rPr>
            <w:instrText xml:space="preserve"> PAGEREF _Toc16426 \h </w:instrText>
          </w:r>
          <w:r>
            <w:rPr>
              <w:b w:val="0"/>
              <w:bCs w:val="0"/>
              <w:sz w:val="21"/>
              <w:szCs w:val="21"/>
            </w:rPr>
            <w:fldChar w:fldCharType="separate"/>
          </w:r>
          <w:r>
            <w:rPr>
              <w:rFonts w:hint="eastAsia"/>
              <w:b w:val="0"/>
              <w:bCs w:val="0"/>
              <w:sz w:val="21"/>
              <w:szCs w:val="21"/>
            </w:rPr>
            <w:t>1</w:t>
          </w:r>
          <w:r>
            <w:rPr>
              <w:b w:val="0"/>
              <w:bCs w:val="0"/>
              <w:sz w:val="21"/>
              <w:szCs w:val="21"/>
            </w:rPr>
            <w:fldChar w:fldCharType="end"/>
          </w:r>
          <w:r>
            <w:rPr>
              <w:b w:val="0"/>
              <w:bCs w:val="0"/>
              <w:sz w:val="21"/>
              <w:szCs w:val="21"/>
            </w:rPr>
            <w:fldChar w:fldCharType="end"/>
          </w:r>
        </w:p>
        <w:p w14:paraId="6695CBDD">
          <w:pPr>
            <w:pStyle w:val="9"/>
            <w:tabs>
              <w:tab w:val="right" w:leader="dot" w:pos="10203"/>
            </w:tabs>
            <w:ind w:firstLine="420"/>
            <w:rPr>
              <w:rFonts w:hint="eastAsia"/>
              <w:szCs w:val="21"/>
            </w:rPr>
          </w:pPr>
          <w:r>
            <w:fldChar w:fldCharType="begin"/>
          </w:r>
          <w:r>
            <w:instrText xml:space="preserve"> HYPERLINK \l "_Toc20404" </w:instrText>
          </w:r>
          <w:r>
            <w:fldChar w:fldCharType="separate"/>
          </w:r>
          <w:r>
            <w:rPr>
              <w:rFonts w:hint="eastAsia"/>
              <w:szCs w:val="21"/>
            </w:rPr>
            <w:t>3 基本要求</w:t>
          </w:r>
          <w:r>
            <w:rPr>
              <w:szCs w:val="21"/>
            </w:rPr>
            <w:tab/>
          </w:r>
          <w:r>
            <w:rPr>
              <w:szCs w:val="21"/>
            </w:rPr>
            <w:fldChar w:fldCharType="begin"/>
          </w:r>
          <w:r>
            <w:rPr>
              <w:szCs w:val="21"/>
            </w:rPr>
            <w:instrText xml:space="preserve"> PAGEREF _Toc20404 \h </w:instrText>
          </w:r>
          <w:r>
            <w:rPr>
              <w:szCs w:val="21"/>
            </w:rPr>
            <w:fldChar w:fldCharType="separate"/>
          </w:r>
          <w:r>
            <w:rPr>
              <w:rFonts w:hint="eastAsia"/>
              <w:szCs w:val="21"/>
            </w:rPr>
            <w:t>1</w:t>
          </w:r>
          <w:r>
            <w:rPr>
              <w:szCs w:val="21"/>
            </w:rPr>
            <w:fldChar w:fldCharType="end"/>
          </w:r>
          <w:r>
            <w:rPr>
              <w:szCs w:val="21"/>
            </w:rPr>
            <w:fldChar w:fldCharType="end"/>
          </w:r>
        </w:p>
        <w:p w14:paraId="1BBAC5D0">
          <w:pPr>
            <w:pStyle w:val="9"/>
            <w:tabs>
              <w:tab w:val="right" w:leader="dot" w:pos="10203"/>
            </w:tabs>
            <w:ind w:firstLine="420"/>
            <w:rPr>
              <w:rFonts w:hint="eastAsia"/>
              <w:szCs w:val="21"/>
            </w:rPr>
          </w:pPr>
          <w:r>
            <w:fldChar w:fldCharType="begin"/>
          </w:r>
          <w:r>
            <w:instrText xml:space="preserve"> HYPERLINK \l "_Toc1459" </w:instrText>
          </w:r>
          <w:r>
            <w:fldChar w:fldCharType="separate"/>
          </w:r>
          <w:r>
            <w:rPr>
              <w:rFonts w:hint="eastAsia"/>
              <w:szCs w:val="21"/>
            </w:rPr>
            <w:t xml:space="preserve">4 </w:t>
          </w:r>
          <w:r>
            <w:rPr>
              <w:szCs w:val="21"/>
            </w:rPr>
            <w:t>认证人员</w:t>
          </w:r>
          <w:r>
            <w:rPr>
              <w:szCs w:val="21"/>
            </w:rPr>
            <w:tab/>
          </w:r>
          <w:r>
            <w:rPr>
              <w:szCs w:val="21"/>
            </w:rPr>
            <w:fldChar w:fldCharType="begin"/>
          </w:r>
          <w:r>
            <w:rPr>
              <w:szCs w:val="21"/>
            </w:rPr>
            <w:instrText xml:space="preserve"> PAGEREF _Toc1459 \h </w:instrText>
          </w:r>
          <w:r>
            <w:rPr>
              <w:szCs w:val="21"/>
            </w:rPr>
            <w:fldChar w:fldCharType="separate"/>
          </w:r>
          <w:r>
            <w:rPr>
              <w:rFonts w:hint="eastAsia"/>
              <w:szCs w:val="21"/>
            </w:rPr>
            <w:t>2</w:t>
          </w:r>
          <w:r>
            <w:rPr>
              <w:szCs w:val="21"/>
            </w:rPr>
            <w:fldChar w:fldCharType="end"/>
          </w:r>
          <w:r>
            <w:rPr>
              <w:szCs w:val="21"/>
            </w:rPr>
            <w:fldChar w:fldCharType="end"/>
          </w:r>
        </w:p>
        <w:p w14:paraId="67437EF2">
          <w:pPr>
            <w:pStyle w:val="9"/>
            <w:tabs>
              <w:tab w:val="right" w:leader="dot" w:pos="10203"/>
            </w:tabs>
            <w:ind w:firstLine="420"/>
            <w:rPr>
              <w:rFonts w:hint="eastAsia"/>
              <w:szCs w:val="21"/>
            </w:rPr>
          </w:pPr>
          <w:r>
            <w:fldChar w:fldCharType="begin"/>
          </w:r>
          <w:r>
            <w:instrText xml:space="preserve"> HYPERLINK \l "_Toc1680" </w:instrText>
          </w:r>
          <w:r>
            <w:fldChar w:fldCharType="separate"/>
          </w:r>
          <w:r>
            <w:rPr>
              <w:rFonts w:hint="eastAsia"/>
              <w:szCs w:val="21"/>
            </w:rPr>
            <w:t>5 认证程序</w:t>
          </w:r>
          <w:r>
            <w:rPr>
              <w:szCs w:val="21"/>
            </w:rPr>
            <w:tab/>
          </w:r>
          <w:r>
            <w:rPr>
              <w:szCs w:val="21"/>
            </w:rPr>
            <w:fldChar w:fldCharType="begin"/>
          </w:r>
          <w:r>
            <w:rPr>
              <w:szCs w:val="21"/>
            </w:rPr>
            <w:instrText xml:space="preserve"> PAGEREF _Toc1680 \h </w:instrText>
          </w:r>
          <w:r>
            <w:rPr>
              <w:szCs w:val="21"/>
            </w:rPr>
            <w:fldChar w:fldCharType="separate"/>
          </w:r>
          <w:r>
            <w:rPr>
              <w:rFonts w:hint="eastAsia"/>
              <w:szCs w:val="21"/>
            </w:rPr>
            <w:t>2</w:t>
          </w:r>
          <w:r>
            <w:rPr>
              <w:szCs w:val="21"/>
            </w:rPr>
            <w:fldChar w:fldCharType="end"/>
          </w:r>
          <w:r>
            <w:rPr>
              <w:szCs w:val="21"/>
            </w:rPr>
            <w:fldChar w:fldCharType="end"/>
          </w:r>
        </w:p>
        <w:p w14:paraId="236A0792">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"_Toc26968" </w:instrText>
          </w:r>
          <w:r>
            <w:fldChar w:fldCharType="separate"/>
          </w:r>
          <w:r>
            <w:rPr>
              <w:rFonts w:hint="eastAsia"/>
              <w:b w:val="0"/>
              <w:bCs w:val="0"/>
              <w:sz w:val="21"/>
              <w:szCs w:val="21"/>
            </w:rPr>
            <w:t>5.1  认证申请</w:t>
          </w:r>
          <w:r>
            <w:rPr>
              <w:b w:val="0"/>
              <w:bCs w:val="0"/>
              <w:sz w:val="21"/>
              <w:szCs w:val="21"/>
            </w:rPr>
            <w:tab/>
          </w:r>
          <w:r>
            <w:rPr>
              <w:b w:val="0"/>
              <w:bCs w:val="0"/>
              <w:sz w:val="21"/>
              <w:szCs w:val="21"/>
            </w:rPr>
            <w:fldChar w:fldCharType="begin"/>
          </w:r>
          <w:r>
            <w:rPr>
              <w:b w:val="0"/>
              <w:bCs w:val="0"/>
              <w:sz w:val="21"/>
              <w:szCs w:val="21"/>
            </w:rPr>
            <w:instrText xml:space="preserve"> PAGEREF _Toc26968 \h </w:instrText>
          </w:r>
          <w:r>
            <w:rPr>
              <w:b w:val="0"/>
              <w:bCs w:val="0"/>
              <w:sz w:val="21"/>
              <w:szCs w:val="21"/>
            </w:rPr>
            <w:fldChar w:fldCharType="separate"/>
          </w:r>
          <w:r>
            <w:rPr>
              <w:rFonts w:hint="eastAsia"/>
              <w:b w:val="0"/>
              <w:bCs w:val="0"/>
              <w:sz w:val="21"/>
              <w:szCs w:val="21"/>
            </w:rPr>
            <w:t>2</w:t>
          </w:r>
          <w:r>
            <w:rPr>
              <w:b w:val="0"/>
              <w:bCs w:val="0"/>
              <w:sz w:val="21"/>
              <w:szCs w:val="21"/>
            </w:rPr>
            <w:fldChar w:fldCharType="end"/>
          </w:r>
          <w:r>
            <w:rPr>
              <w:b w:val="0"/>
              <w:bCs w:val="0"/>
              <w:sz w:val="21"/>
              <w:szCs w:val="21"/>
            </w:rPr>
            <w:fldChar w:fldCharType="end"/>
          </w:r>
        </w:p>
        <w:p w14:paraId="35B136F8">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"_Toc26386" </w:instrText>
          </w:r>
          <w:r>
            <w:fldChar w:fldCharType="separate"/>
          </w:r>
          <w:r>
            <w:rPr>
              <w:rFonts w:hint="eastAsia"/>
              <w:b w:val="0"/>
              <w:bCs w:val="0"/>
              <w:sz w:val="21"/>
              <w:szCs w:val="21"/>
            </w:rPr>
            <w:t>5.2  申请评审</w:t>
          </w:r>
          <w:r>
            <w:rPr>
              <w:b w:val="0"/>
              <w:bCs w:val="0"/>
              <w:sz w:val="21"/>
              <w:szCs w:val="21"/>
            </w:rPr>
            <w:tab/>
          </w:r>
          <w:r>
            <w:rPr>
              <w:b w:val="0"/>
              <w:bCs w:val="0"/>
              <w:sz w:val="21"/>
              <w:szCs w:val="21"/>
            </w:rPr>
            <w:fldChar w:fldCharType="begin"/>
          </w:r>
          <w:r>
            <w:rPr>
              <w:b w:val="0"/>
              <w:bCs w:val="0"/>
              <w:sz w:val="21"/>
              <w:szCs w:val="21"/>
            </w:rPr>
            <w:instrText xml:space="preserve"> PAGEREF _Toc26386 \h </w:instrText>
          </w:r>
          <w:r>
            <w:rPr>
              <w:b w:val="0"/>
              <w:bCs w:val="0"/>
              <w:sz w:val="21"/>
              <w:szCs w:val="21"/>
            </w:rPr>
            <w:fldChar w:fldCharType="separate"/>
          </w:r>
          <w:r>
            <w:rPr>
              <w:rFonts w:hint="eastAsia"/>
              <w:b w:val="0"/>
              <w:bCs w:val="0"/>
              <w:sz w:val="21"/>
              <w:szCs w:val="21"/>
            </w:rPr>
            <w:t>3</w:t>
          </w:r>
          <w:r>
            <w:rPr>
              <w:b w:val="0"/>
              <w:bCs w:val="0"/>
              <w:sz w:val="21"/>
              <w:szCs w:val="21"/>
            </w:rPr>
            <w:fldChar w:fldCharType="end"/>
          </w:r>
          <w:r>
            <w:rPr>
              <w:b w:val="0"/>
              <w:bCs w:val="0"/>
              <w:sz w:val="21"/>
              <w:szCs w:val="21"/>
            </w:rPr>
            <w:fldChar w:fldCharType="end"/>
          </w:r>
        </w:p>
        <w:p w14:paraId="6A969425">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"_Toc14627" </w:instrText>
          </w:r>
          <w:r>
            <w:fldChar w:fldCharType="separate"/>
          </w:r>
          <w:r>
            <w:rPr>
              <w:rFonts w:hint="eastAsia"/>
              <w:b w:val="0"/>
              <w:bCs w:val="0"/>
              <w:sz w:val="21"/>
              <w:szCs w:val="21"/>
            </w:rPr>
            <w:t>5.3  认证合同及相关责任</w:t>
          </w:r>
          <w:r>
            <w:rPr>
              <w:b w:val="0"/>
              <w:bCs w:val="0"/>
              <w:sz w:val="21"/>
              <w:szCs w:val="21"/>
            </w:rPr>
            <w:tab/>
          </w:r>
          <w:r>
            <w:rPr>
              <w:b w:val="0"/>
              <w:bCs w:val="0"/>
              <w:sz w:val="21"/>
              <w:szCs w:val="21"/>
            </w:rPr>
            <w:fldChar w:fldCharType="begin"/>
          </w:r>
          <w:r>
            <w:rPr>
              <w:b w:val="0"/>
              <w:bCs w:val="0"/>
              <w:sz w:val="21"/>
              <w:szCs w:val="21"/>
            </w:rPr>
            <w:instrText xml:space="preserve"> PAGEREF _Toc14627 \h </w:instrText>
          </w:r>
          <w:r>
            <w:rPr>
              <w:b w:val="0"/>
              <w:bCs w:val="0"/>
              <w:sz w:val="21"/>
              <w:szCs w:val="21"/>
            </w:rPr>
            <w:fldChar w:fldCharType="separate"/>
          </w:r>
          <w:r>
            <w:rPr>
              <w:rFonts w:hint="eastAsia"/>
              <w:b w:val="0"/>
              <w:bCs w:val="0"/>
              <w:sz w:val="21"/>
              <w:szCs w:val="21"/>
            </w:rPr>
            <w:t>3</w:t>
          </w:r>
          <w:r>
            <w:rPr>
              <w:b w:val="0"/>
              <w:bCs w:val="0"/>
              <w:sz w:val="21"/>
              <w:szCs w:val="21"/>
            </w:rPr>
            <w:fldChar w:fldCharType="end"/>
          </w:r>
          <w:r>
            <w:rPr>
              <w:b w:val="0"/>
              <w:bCs w:val="0"/>
              <w:sz w:val="21"/>
              <w:szCs w:val="21"/>
            </w:rPr>
            <w:fldChar w:fldCharType="end"/>
          </w:r>
        </w:p>
        <w:p w14:paraId="2DBE374B">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"_Toc26852" </w:instrText>
          </w:r>
          <w:r>
            <w:fldChar w:fldCharType="separate"/>
          </w:r>
          <w:r>
            <w:rPr>
              <w:rFonts w:hint="eastAsia"/>
              <w:b w:val="0"/>
              <w:bCs w:val="0"/>
              <w:sz w:val="21"/>
              <w:szCs w:val="21"/>
            </w:rPr>
            <w:t>5.4  审核方案和审核策划</w:t>
          </w:r>
          <w:r>
            <w:rPr>
              <w:b w:val="0"/>
              <w:bCs w:val="0"/>
              <w:sz w:val="21"/>
              <w:szCs w:val="21"/>
            </w:rPr>
            <w:tab/>
          </w:r>
          <w:r>
            <w:rPr>
              <w:b w:val="0"/>
              <w:bCs w:val="0"/>
              <w:sz w:val="21"/>
              <w:szCs w:val="21"/>
            </w:rPr>
            <w:fldChar w:fldCharType="begin"/>
          </w:r>
          <w:r>
            <w:rPr>
              <w:b w:val="0"/>
              <w:bCs w:val="0"/>
              <w:sz w:val="21"/>
              <w:szCs w:val="21"/>
            </w:rPr>
            <w:instrText xml:space="preserve"> PAGEREF _Toc26852 \h </w:instrText>
          </w:r>
          <w:r>
            <w:rPr>
              <w:b w:val="0"/>
              <w:bCs w:val="0"/>
              <w:sz w:val="21"/>
              <w:szCs w:val="21"/>
            </w:rPr>
            <w:fldChar w:fldCharType="separate"/>
          </w:r>
          <w:r>
            <w:rPr>
              <w:rFonts w:hint="eastAsia"/>
              <w:b w:val="0"/>
              <w:bCs w:val="0"/>
              <w:sz w:val="21"/>
              <w:szCs w:val="21"/>
            </w:rPr>
            <w:t>3</w:t>
          </w:r>
          <w:r>
            <w:rPr>
              <w:b w:val="0"/>
              <w:bCs w:val="0"/>
              <w:sz w:val="21"/>
              <w:szCs w:val="21"/>
            </w:rPr>
            <w:fldChar w:fldCharType="end"/>
          </w:r>
          <w:r>
            <w:rPr>
              <w:b w:val="0"/>
              <w:bCs w:val="0"/>
              <w:sz w:val="21"/>
              <w:szCs w:val="21"/>
            </w:rPr>
            <w:fldChar w:fldCharType="end"/>
          </w:r>
        </w:p>
        <w:p w14:paraId="755C08A4">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"_Toc4274" </w:instrText>
          </w:r>
          <w:r>
            <w:fldChar w:fldCharType="separate"/>
          </w:r>
          <w:r>
            <w:rPr>
              <w:rFonts w:hint="eastAsia"/>
              <w:b w:val="0"/>
              <w:bCs w:val="0"/>
              <w:sz w:val="21"/>
              <w:szCs w:val="21"/>
            </w:rPr>
            <w:t>5.5  实施审核</w:t>
          </w:r>
          <w:r>
            <w:rPr>
              <w:b w:val="0"/>
              <w:bCs w:val="0"/>
              <w:sz w:val="21"/>
              <w:szCs w:val="21"/>
            </w:rPr>
            <w:tab/>
          </w:r>
          <w:r>
            <w:rPr>
              <w:b w:val="0"/>
              <w:bCs w:val="0"/>
              <w:sz w:val="21"/>
              <w:szCs w:val="21"/>
            </w:rPr>
            <w:fldChar w:fldCharType="begin"/>
          </w:r>
          <w:r>
            <w:rPr>
              <w:b w:val="0"/>
              <w:bCs w:val="0"/>
              <w:sz w:val="21"/>
              <w:szCs w:val="21"/>
            </w:rPr>
            <w:instrText xml:space="preserve"> PAGEREF _Toc4274 \h </w:instrText>
          </w:r>
          <w:r>
            <w:rPr>
              <w:b w:val="0"/>
              <w:bCs w:val="0"/>
              <w:sz w:val="21"/>
              <w:szCs w:val="21"/>
            </w:rPr>
            <w:fldChar w:fldCharType="separate"/>
          </w:r>
          <w:r>
            <w:rPr>
              <w:rFonts w:hint="eastAsia"/>
              <w:b w:val="0"/>
              <w:bCs w:val="0"/>
              <w:sz w:val="21"/>
              <w:szCs w:val="21"/>
            </w:rPr>
            <w:t>5</w:t>
          </w:r>
          <w:r>
            <w:rPr>
              <w:b w:val="0"/>
              <w:bCs w:val="0"/>
              <w:sz w:val="21"/>
              <w:szCs w:val="21"/>
            </w:rPr>
            <w:fldChar w:fldCharType="end"/>
          </w:r>
          <w:r>
            <w:rPr>
              <w:b w:val="0"/>
              <w:bCs w:val="0"/>
              <w:sz w:val="21"/>
              <w:szCs w:val="21"/>
            </w:rPr>
            <w:fldChar w:fldCharType="end"/>
          </w:r>
        </w:p>
        <w:p w14:paraId="66C477F5">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"_Toc14665" </w:instrText>
          </w:r>
          <w:r>
            <w:fldChar w:fldCharType="separate"/>
          </w:r>
          <w:r>
            <w:rPr>
              <w:rFonts w:hint="eastAsia"/>
              <w:b w:val="0"/>
              <w:bCs w:val="0"/>
              <w:sz w:val="21"/>
              <w:szCs w:val="21"/>
            </w:rPr>
            <w:t>5.6  初次认证审核</w:t>
          </w:r>
          <w:r>
            <w:rPr>
              <w:b w:val="0"/>
              <w:bCs w:val="0"/>
              <w:sz w:val="21"/>
              <w:szCs w:val="21"/>
            </w:rPr>
            <w:tab/>
          </w:r>
          <w:r>
            <w:rPr>
              <w:b w:val="0"/>
              <w:bCs w:val="0"/>
              <w:sz w:val="21"/>
              <w:szCs w:val="21"/>
            </w:rPr>
            <w:fldChar w:fldCharType="begin"/>
          </w:r>
          <w:r>
            <w:rPr>
              <w:b w:val="0"/>
              <w:bCs w:val="0"/>
              <w:sz w:val="21"/>
              <w:szCs w:val="21"/>
            </w:rPr>
            <w:instrText xml:space="preserve"> PAGEREF _Toc14665 \h </w:instrText>
          </w:r>
          <w:r>
            <w:rPr>
              <w:b w:val="0"/>
              <w:bCs w:val="0"/>
              <w:sz w:val="21"/>
              <w:szCs w:val="21"/>
            </w:rPr>
            <w:fldChar w:fldCharType="separate"/>
          </w:r>
          <w:r>
            <w:rPr>
              <w:rFonts w:hint="eastAsia"/>
              <w:b w:val="0"/>
              <w:bCs w:val="0"/>
              <w:sz w:val="21"/>
              <w:szCs w:val="21"/>
            </w:rPr>
            <w:t>5</w:t>
          </w:r>
          <w:r>
            <w:rPr>
              <w:b w:val="0"/>
              <w:bCs w:val="0"/>
              <w:sz w:val="21"/>
              <w:szCs w:val="21"/>
            </w:rPr>
            <w:fldChar w:fldCharType="end"/>
          </w:r>
          <w:r>
            <w:rPr>
              <w:b w:val="0"/>
              <w:bCs w:val="0"/>
              <w:sz w:val="21"/>
              <w:szCs w:val="21"/>
            </w:rPr>
            <w:fldChar w:fldCharType="end"/>
          </w:r>
        </w:p>
        <w:p w14:paraId="1A3ADFED">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"_Toc20463" </w:instrText>
          </w:r>
          <w:r>
            <w:fldChar w:fldCharType="separate"/>
          </w:r>
          <w:r>
            <w:rPr>
              <w:rFonts w:hint="eastAsia"/>
              <w:b w:val="0"/>
              <w:bCs w:val="0"/>
              <w:sz w:val="21"/>
              <w:szCs w:val="21"/>
            </w:rPr>
            <w:t>5.7  监督审核</w:t>
          </w:r>
          <w:r>
            <w:rPr>
              <w:b w:val="0"/>
              <w:bCs w:val="0"/>
              <w:sz w:val="21"/>
              <w:szCs w:val="21"/>
            </w:rPr>
            <w:tab/>
          </w:r>
          <w:r>
            <w:rPr>
              <w:b w:val="0"/>
              <w:bCs w:val="0"/>
              <w:sz w:val="21"/>
              <w:szCs w:val="21"/>
            </w:rPr>
            <w:fldChar w:fldCharType="begin"/>
          </w:r>
          <w:r>
            <w:rPr>
              <w:b w:val="0"/>
              <w:bCs w:val="0"/>
              <w:sz w:val="21"/>
              <w:szCs w:val="21"/>
            </w:rPr>
            <w:instrText xml:space="preserve"> PAGEREF _Toc20463 \h </w:instrText>
          </w:r>
          <w:r>
            <w:rPr>
              <w:b w:val="0"/>
              <w:bCs w:val="0"/>
              <w:sz w:val="21"/>
              <w:szCs w:val="21"/>
            </w:rPr>
            <w:fldChar w:fldCharType="separate"/>
          </w:r>
          <w:r>
            <w:rPr>
              <w:rFonts w:hint="eastAsia"/>
              <w:b w:val="0"/>
              <w:bCs w:val="0"/>
              <w:sz w:val="21"/>
              <w:szCs w:val="21"/>
            </w:rPr>
            <w:t>6</w:t>
          </w:r>
          <w:r>
            <w:rPr>
              <w:b w:val="0"/>
              <w:bCs w:val="0"/>
              <w:sz w:val="21"/>
              <w:szCs w:val="21"/>
            </w:rPr>
            <w:fldChar w:fldCharType="end"/>
          </w:r>
          <w:r>
            <w:rPr>
              <w:b w:val="0"/>
              <w:bCs w:val="0"/>
              <w:sz w:val="21"/>
              <w:szCs w:val="21"/>
            </w:rPr>
            <w:fldChar w:fldCharType="end"/>
          </w:r>
        </w:p>
        <w:p w14:paraId="5FAD4C7B">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"_Toc18794" </w:instrText>
          </w:r>
          <w:r>
            <w:fldChar w:fldCharType="separate"/>
          </w:r>
          <w:r>
            <w:rPr>
              <w:rFonts w:hint="eastAsia"/>
              <w:b w:val="0"/>
              <w:bCs w:val="0"/>
              <w:sz w:val="21"/>
              <w:szCs w:val="21"/>
            </w:rPr>
            <w:t>5.8  再认证审核</w:t>
          </w:r>
          <w:r>
            <w:rPr>
              <w:b w:val="0"/>
              <w:bCs w:val="0"/>
              <w:sz w:val="21"/>
              <w:szCs w:val="21"/>
            </w:rPr>
            <w:tab/>
          </w:r>
          <w:r>
            <w:rPr>
              <w:b w:val="0"/>
              <w:bCs w:val="0"/>
              <w:sz w:val="21"/>
              <w:szCs w:val="21"/>
            </w:rPr>
            <w:fldChar w:fldCharType="begin"/>
          </w:r>
          <w:r>
            <w:rPr>
              <w:b w:val="0"/>
              <w:bCs w:val="0"/>
              <w:sz w:val="21"/>
              <w:szCs w:val="21"/>
            </w:rPr>
            <w:instrText xml:space="preserve"> PAGEREF _Toc18794 \h </w:instrText>
          </w:r>
          <w:r>
            <w:rPr>
              <w:b w:val="0"/>
              <w:bCs w:val="0"/>
              <w:sz w:val="21"/>
              <w:szCs w:val="21"/>
            </w:rPr>
            <w:fldChar w:fldCharType="separate"/>
          </w:r>
          <w:r>
            <w:rPr>
              <w:rFonts w:hint="eastAsia"/>
              <w:b w:val="0"/>
              <w:bCs w:val="0"/>
              <w:sz w:val="21"/>
              <w:szCs w:val="21"/>
            </w:rPr>
            <w:t>7</w:t>
          </w:r>
          <w:r>
            <w:rPr>
              <w:b w:val="0"/>
              <w:bCs w:val="0"/>
              <w:sz w:val="21"/>
              <w:szCs w:val="21"/>
            </w:rPr>
            <w:fldChar w:fldCharType="end"/>
          </w:r>
          <w:r>
            <w:rPr>
              <w:b w:val="0"/>
              <w:bCs w:val="0"/>
              <w:sz w:val="21"/>
              <w:szCs w:val="21"/>
            </w:rPr>
            <w:fldChar w:fldCharType="end"/>
          </w:r>
        </w:p>
        <w:p w14:paraId="165BEC2B">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"_Toc6307" </w:instrText>
          </w:r>
          <w:r>
            <w:fldChar w:fldCharType="separate"/>
          </w:r>
          <w:r>
            <w:rPr>
              <w:rFonts w:hint="eastAsia"/>
              <w:b w:val="0"/>
              <w:bCs w:val="0"/>
              <w:sz w:val="21"/>
              <w:szCs w:val="21"/>
            </w:rPr>
            <w:t>5.9  特殊审核</w:t>
          </w:r>
          <w:r>
            <w:rPr>
              <w:b w:val="0"/>
              <w:bCs w:val="0"/>
              <w:sz w:val="21"/>
              <w:szCs w:val="21"/>
            </w:rPr>
            <w:tab/>
          </w:r>
          <w:r>
            <w:rPr>
              <w:b w:val="0"/>
              <w:bCs w:val="0"/>
              <w:sz w:val="21"/>
              <w:szCs w:val="21"/>
            </w:rPr>
            <w:fldChar w:fldCharType="begin"/>
          </w:r>
          <w:r>
            <w:rPr>
              <w:b w:val="0"/>
              <w:bCs w:val="0"/>
              <w:sz w:val="21"/>
              <w:szCs w:val="21"/>
            </w:rPr>
            <w:instrText xml:space="preserve"> PAGEREF _Toc6307 \h </w:instrText>
          </w:r>
          <w:r>
            <w:rPr>
              <w:b w:val="0"/>
              <w:bCs w:val="0"/>
              <w:sz w:val="21"/>
              <w:szCs w:val="21"/>
            </w:rPr>
            <w:fldChar w:fldCharType="separate"/>
          </w:r>
          <w:r>
            <w:rPr>
              <w:rFonts w:hint="eastAsia"/>
              <w:b w:val="0"/>
              <w:bCs w:val="0"/>
              <w:sz w:val="21"/>
              <w:szCs w:val="21"/>
            </w:rPr>
            <w:t>7</w:t>
          </w:r>
          <w:r>
            <w:rPr>
              <w:b w:val="0"/>
              <w:bCs w:val="0"/>
              <w:sz w:val="21"/>
              <w:szCs w:val="21"/>
            </w:rPr>
            <w:fldChar w:fldCharType="end"/>
          </w:r>
          <w:r>
            <w:rPr>
              <w:b w:val="0"/>
              <w:bCs w:val="0"/>
              <w:sz w:val="21"/>
              <w:szCs w:val="21"/>
            </w:rPr>
            <w:fldChar w:fldCharType="end"/>
          </w:r>
        </w:p>
        <w:p w14:paraId="5F7FED29">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"_Toc23591" </w:instrText>
          </w:r>
          <w:r>
            <w:fldChar w:fldCharType="separate"/>
          </w:r>
          <w:r>
            <w:rPr>
              <w:rFonts w:hint="eastAsia"/>
              <w:b w:val="0"/>
              <w:bCs w:val="0"/>
              <w:sz w:val="21"/>
              <w:szCs w:val="21"/>
            </w:rPr>
            <w:t>5.10  不符合项及其验证</w:t>
          </w:r>
          <w:r>
            <w:rPr>
              <w:b w:val="0"/>
              <w:bCs w:val="0"/>
              <w:sz w:val="21"/>
              <w:szCs w:val="21"/>
            </w:rPr>
            <w:tab/>
          </w:r>
          <w:r>
            <w:rPr>
              <w:b w:val="0"/>
              <w:bCs w:val="0"/>
              <w:sz w:val="21"/>
              <w:szCs w:val="21"/>
            </w:rPr>
            <w:fldChar w:fldCharType="begin"/>
          </w:r>
          <w:r>
            <w:rPr>
              <w:b w:val="0"/>
              <w:bCs w:val="0"/>
              <w:sz w:val="21"/>
              <w:szCs w:val="21"/>
            </w:rPr>
            <w:instrText xml:space="preserve"> PAGEREF _Toc23591 \h </w:instrText>
          </w:r>
          <w:r>
            <w:rPr>
              <w:b w:val="0"/>
              <w:bCs w:val="0"/>
              <w:sz w:val="21"/>
              <w:szCs w:val="21"/>
            </w:rPr>
            <w:fldChar w:fldCharType="separate"/>
          </w:r>
          <w:r>
            <w:rPr>
              <w:rFonts w:hint="eastAsia"/>
              <w:b w:val="0"/>
              <w:bCs w:val="0"/>
              <w:sz w:val="21"/>
              <w:szCs w:val="21"/>
            </w:rPr>
            <w:t>7</w:t>
          </w:r>
          <w:r>
            <w:rPr>
              <w:b w:val="0"/>
              <w:bCs w:val="0"/>
              <w:sz w:val="21"/>
              <w:szCs w:val="21"/>
            </w:rPr>
            <w:fldChar w:fldCharType="end"/>
          </w:r>
          <w:r>
            <w:rPr>
              <w:b w:val="0"/>
              <w:bCs w:val="0"/>
              <w:sz w:val="21"/>
              <w:szCs w:val="21"/>
            </w:rPr>
            <w:fldChar w:fldCharType="end"/>
          </w:r>
        </w:p>
        <w:p w14:paraId="49BA18EF">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"_Toc4482" </w:instrText>
          </w:r>
          <w:r>
            <w:fldChar w:fldCharType="separate"/>
          </w:r>
          <w:r>
            <w:rPr>
              <w:rFonts w:hint="eastAsia"/>
              <w:b w:val="0"/>
              <w:bCs w:val="0"/>
              <w:sz w:val="21"/>
              <w:szCs w:val="21"/>
            </w:rPr>
            <w:t>5.11  审核报告</w:t>
          </w:r>
          <w:r>
            <w:rPr>
              <w:b w:val="0"/>
              <w:bCs w:val="0"/>
              <w:sz w:val="21"/>
              <w:szCs w:val="21"/>
            </w:rPr>
            <w:tab/>
          </w:r>
          <w:r>
            <w:rPr>
              <w:b w:val="0"/>
              <w:bCs w:val="0"/>
              <w:sz w:val="21"/>
              <w:szCs w:val="21"/>
            </w:rPr>
            <w:fldChar w:fldCharType="begin"/>
          </w:r>
          <w:r>
            <w:rPr>
              <w:b w:val="0"/>
              <w:bCs w:val="0"/>
              <w:sz w:val="21"/>
              <w:szCs w:val="21"/>
            </w:rPr>
            <w:instrText xml:space="preserve"> PAGEREF _Toc4482 \h </w:instrText>
          </w:r>
          <w:r>
            <w:rPr>
              <w:b w:val="0"/>
              <w:bCs w:val="0"/>
              <w:sz w:val="21"/>
              <w:szCs w:val="21"/>
            </w:rPr>
            <w:fldChar w:fldCharType="separate"/>
          </w:r>
          <w:r>
            <w:rPr>
              <w:rFonts w:hint="eastAsia"/>
              <w:b w:val="0"/>
              <w:bCs w:val="0"/>
              <w:sz w:val="21"/>
              <w:szCs w:val="21"/>
            </w:rPr>
            <w:t>7</w:t>
          </w:r>
          <w:r>
            <w:rPr>
              <w:b w:val="0"/>
              <w:bCs w:val="0"/>
              <w:sz w:val="21"/>
              <w:szCs w:val="21"/>
            </w:rPr>
            <w:fldChar w:fldCharType="end"/>
          </w:r>
          <w:r>
            <w:rPr>
              <w:b w:val="0"/>
              <w:bCs w:val="0"/>
              <w:sz w:val="21"/>
              <w:szCs w:val="21"/>
            </w:rPr>
            <w:fldChar w:fldCharType="end"/>
          </w:r>
        </w:p>
        <w:p w14:paraId="035B56E7">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"_Toc30576" </w:instrText>
          </w:r>
          <w:r>
            <w:fldChar w:fldCharType="separate"/>
          </w:r>
          <w:r>
            <w:rPr>
              <w:rFonts w:hint="eastAsia"/>
              <w:b w:val="0"/>
              <w:bCs w:val="0"/>
              <w:sz w:val="21"/>
              <w:szCs w:val="21"/>
            </w:rPr>
            <w:t>5.12  认证决定</w:t>
          </w:r>
          <w:r>
            <w:rPr>
              <w:b w:val="0"/>
              <w:bCs w:val="0"/>
              <w:sz w:val="21"/>
              <w:szCs w:val="21"/>
            </w:rPr>
            <w:tab/>
          </w:r>
          <w:r>
            <w:rPr>
              <w:b w:val="0"/>
              <w:bCs w:val="0"/>
              <w:sz w:val="21"/>
              <w:szCs w:val="21"/>
            </w:rPr>
            <w:fldChar w:fldCharType="begin"/>
          </w:r>
          <w:r>
            <w:rPr>
              <w:b w:val="0"/>
              <w:bCs w:val="0"/>
              <w:sz w:val="21"/>
              <w:szCs w:val="21"/>
            </w:rPr>
            <w:instrText xml:space="preserve"> PAGEREF _Toc30576 \h </w:instrText>
          </w:r>
          <w:r>
            <w:rPr>
              <w:b w:val="0"/>
              <w:bCs w:val="0"/>
              <w:sz w:val="21"/>
              <w:szCs w:val="21"/>
            </w:rPr>
            <w:fldChar w:fldCharType="separate"/>
          </w:r>
          <w:r>
            <w:rPr>
              <w:rFonts w:hint="eastAsia"/>
              <w:b w:val="0"/>
              <w:bCs w:val="0"/>
              <w:sz w:val="21"/>
              <w:szCs w:val="21"/>
            </w:rPr>
            <w:t>8</w:t>
          </w:r>
          <w:r>
            <w:rPr>
              <w:b w:val="0"/>
              <w:bCs w:val="0"/>
              <w:sz w:val="21"/>
              <w:szCs w:val="21"/>
            </w:rPr>
            <w:fldChar w:fldCharType="end"/>
          </w:r>
          <w:r>
            <w:rPr>
              <w:b w:val="0"/>
              <w:bCs w:val="0"/>
              <w:sz w:val="21"/>
              <w:szCs w:val="21"/>
            </w:rPr>
            <w:fldChar w:fldCharType="end"/>
          </w:r>
        </w:p>
        <w:p w14:paraId="622199BB">
          <w:pPr>
            <w:pStyle w:val="9"/>
            <w:tabs>
              <w:tab w:val="right" w:leader="dot" w:pos="10203"/>
            </w:tabs>
            <w:ind w:firstLine="420"/>
            <w:rPr>
              <w:rFonts w:hint="eastAsia"/>
              <w:szCs w:val="21"/>
            </w:rPr>
          </w:pPr>
          <w:r>
            <w:fldChar w:fldCharType="begin"/>
          </w:r>
          <w:r>
            <w:instrText xml:space="preserve"> HYPERLINK \l "_Toc25242" </w:instrText>
          </w:r>
          <w:r>
            <w:fldChar w:fldCharType="separate"/>
          </w:r>
          <w:r>
            <w:rPr>
              <w:rFonts w:hint="eastAsia"/>
              <w:szCs w:val="21"/>
            </w:rPr>
            <w:t>6  认证证书和认证标志</w:t>
          </w:r>
          <w:r>
            <w:rPr>
              <w:szCs w:val="21"/>
            </w:rPr>
            <w:tab/>
          </w:r>
          <w:r>
            <w:rPr>
              <w:szCs w:val="21"/>
            </w:rPr>
            <w:fldChar w:fldCharType="begin"/>
          </w:r>
          <w:r>
            <w:rPr>
              <w:szCs w:val="21"/>
            </w:rPr>
            <w:instrText xml:space="preserve"> PAGEREF _Toc25242 \h </w:instrText>
          </w:r>
          <w:r>
            <w:rPr>
              <w:szCs w:val="21"/>
            </w:rPr>
            <w:fldChar w:fldCharType="separate"/>
          </w:r>
          <w:r>
            <w:rPr>
              <w:rFonts w:hint="eastAsia"/>
              <w:szCs w:val="21"/>
            </w:rPr>
            <w:t>9</w:t>
          </w:r>
          <w:r>
            <w:rPr>
              <w:szCs w:val="21"/>
            </w:rPr>
            <w:fldChar w:fldCharType="end"/>
          </w:r>
          <w:r>
            <w:rPr>
              <w:szCs w:val="21"/>
            </w:rPr>
            <w:fldChar w:fldCharType="end"/>
          </w:r>
        </w:p>
        <w:p w14:paraId="3E139584">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"_Toc32114" </w:instrText>
          </w:r>
          <w:r>
            <w:fldChar w:fldCharType="separate"/>
          </w:r>
          <w:r>
            <w:rPr>
              <w:rFonts w:hint="eastAsia"/>
              <w:b w:val="0"/>
              <w:bCs w:val="0"/>
              <w:sz w:val="21"/>
              <w:szCs w:val="21"/>
            </w:rPr>
            <w:t>6.1  总则</w:t>
          </w:r>
          <w:r>
            <w:rPr>
              <w:b w:val="0"/>
              <w:bCs w:val="0"/>
              <w:sz w:val="21"/>
              <w:szCs w:val="21"/>
            </w:rPr>
            <w:tab/>
          </w:r>
          <w:r>
            <w:rPr>
              <w:b w:val="0"/>
              <w:bCs w:val="0"/>
              <w:sz w:val="21"/>
              <w:szCs w:val="21"/>
            </w:rPr>
            <w:fldChar w:fldCharType="begin"/>
          </w:r>
          <w:r>
            <w:rPr>
              <w:b w:val="0"/>
              <w:bCs w:val="0"/>
              <w:sz w:val="21"/>
              <w:szCs w:val="21"/>
            </w:rPr>
            <w:instrText xml:space="preserve"> PAGEREF _Toc32114 \h </w:instrText>
          </w:r>
          <w:r>
            <w:rPr>
              <w:b w:val="0"/>
              <w:bCs w:val="0"/>
              <w:sz w:val="21"/>
              <w:szCs w:val="21"/>
            </w:rPr>
            <w:fldChar w:fldCharType="separate"/>
          </w:r>
          <w:r>
            <w:rPr>
              <w:rFonts w:hint="eastAsia"/>
              <w:b w:val="0"/>
              <w:bCs w:val="0"/>
              <w:sz w:val="21"/>
              <w:szCs w:val="21"/>
            </w:rPr>
            <w:t>9</w:t>
          </w:r>
          <w:r>
            <w:rPr>
              <w:b w:val="0"/>
              <w:bCs w:val="0"/>
              <w:sz w:val="21"/>
              <w:szCs w:val="21"/>
            </w:rPr>
            <w:fldChar w:fldCharType="end"/>
          </w:r>
          <w:r>
            <w:rPr>
              <w:b w:val="0"/>
              <w:bCs w:val="0"/>
              <w:sz w:val="21"/>
              <w:szCs w:val="21"/>
            </w:rPr>
            <w:fldChar w:fldCharType="end"/>
          </w:r>
        </w:p>
        <w:p w14:paraId="105BC917">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"_Toc15956" </w:instrText>
          </w:r>
          <w:r>
            <w:fldChar w:fldCharType="separate"/>
          </w:r>
          <w:r>
            <w:rPr>
              <w:rFonts w:hint="eastAsia"/>
              <w:b w:val="0"/>
              <w:bCs w:val="0"/>
              <w:sz w:val="21"/>
              <w:szCs w:val="21"/>
            </w:rPr>
            <w:t>6.2  认证证书</w:t>
          </w:r>
          <w:r>
            <w:rPr>
              <w:b w:val="0"/>
              <w:bCs w:val="0"/>
              <w:sz w:val="21"/>
              <w:szCs w:val="21"/>
            </w:rPr>
            <w:tab/>
          </w:r>
          <w:r>
            <w:rPr>
              <w:b w:val="0"/>
              <w:bCs w:val="0"/>
              <w:sz w:val="21"/>
              <w:szCs w:val="21"/>
            </w:rPr>
            <w:fldChar w:fldCharType="begin"/>
          </w:r>
          <w:r>
            <w:rPr>
              <w:b w:val="0"/>
              <w:bCs w:val="0"/>
              <w:sz w:val="21"/>
              <w:szCs w:val="21"/>
            </w:rPr>
            <w:instrText xml:space="preserve"> PAGEREF _Toc15956 \h </w:instrText>
          </w:r>
          <w:r>
            <w:rPr>
              <w:b w:val="0"/>
              <w:bCs w:val="0"/>
              <w:sz w:val="21"/>
              <w:szCs w:val="21"/>
            </w:rPr>
            <w:fldChar w:fldCharType="separate"/>
          </w:r>
          <w:r>
            <w:rPr>
              <w:rFonts w:hint="eastAsia"/>
              <w:b w:val="0"/>
              <w:bCs w:val="0"/>
              <w:sz w:val="21"/>
              <w:szCs w:val="21"/>
            </w:rPr>
            <w:t>9</w:t>
          </w:r>
          <w:r>
            <w:rPr>
              <w:b w:val="0"/>
              <w:bCs w:val="0"/>
              <w:sz w:val="21"/>
              <w:szCs w:val="21"/>
            </w:rPr>
            <w:fldChar w:fldCharType="end"/>
          </w:r>
          <w:r>
            <w:rPr>
              <w:b w:val="0"/>
              <w:bCs w:val="0"/>
              <w:sz w:val="21"/>
              <w:szCs w:val="21"/>
            </w:rPr>
            <w:fldChar w:fldCharType="end"/>
          </w:r>
        </w:p>
        <w:p w14:paraId="2C3E2C8E">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"_Toc5149" </w:instrText>
          </w:r>
          <w:r>
            <w:fldChar w:fldCharType="separate"/>
          </w:r>
          <w:r>
            <w:rPr>
              <w:rFonts w:hint="eastAsia"/>
              <w:b w:val="0"/>
              <w:bCs w:val="0"/>
              <w:sz w:val="21"/>
              <w:szCs w:val="21"/>
            </w:rPr>
            <w:t>6.3  认证标志</w:t>
          </w:r>
          <w:r>
            <w:rPr>
              <w:b w:val="0"/>
              <w:bCs w:val="0"/>
              <w:sz w:val="21"/>
              <w:szCs w:val="21"/>
            </w:rPr>
            <w:tab/>
          </w:r>
          <w:r>
            <w:rPr>
              <w:b w:val="0"/>
              <w:bCs w:val="0"/>
              <w:sz w:val="21"/>
              <w:szCs w:val="21"/>
            </w:rPr>
            <w:fldChar w:fldCharType="begin"/>
          </w:r>
          <w:r>
            <w:rPr>
              <w:b w:val="0"/>
              <w:bCs w:val="0"/>
              <w:sz w:val="21"/>
              <w:szCs w:val="21"/>
            </w:rPr>
            <w:instrText xml:space="preserve"> PAGEREF _Toc5149 \h </w:instrText>
          </w:r>
          <w:r>
            <w:rPr>
              <w:b w:val="0"/>
              <w:bCs w:val="0"/>
              <w:sz w:val="21"/>
              <w:szCs w:val="21"/>
            </w:rPr>
            <w:fldChar w:fldCharType="separate"/>
          </w:r>
          <w:r>
            <w:rPr>
              <w:rFonts w:hint="eastAsia"/>
              <w:b w:val="0"/>
              <w:bCs w:val="0"/>
              <w:sz w:val="21"/>
              <w:szCs w:val="21"/>
            </w:rPr>
            <w:t>9</w:t>
          </w:r>
          <w:r>
            <w:rPr>
              <w:b w:val="0"/>
              <w:bCs w:val="0"/>
              <w:sz w:val="21"/>
              <w:szCs w:val="21"/>
            </w:rPr>
            <w:fldChar w:fldCharType="end"/>
          </w:r>
          <w:r>
            <w:rPr>
              <w:b w:val="0"/>
              <w:bCs w:val="0"/>
              <w:sz w:val="21"/>
              <w:szCs w:val="21"/>
            </w:rPr>
            <w:fldChar w:fldCharType="end"/>
          </w:r>
        </w:p>
        <w:p w14:paraId="68401C13">
          <w:pPr>
            <w:pStyle w:val="9"/>
            <w:tabs>
              <w:tab w:val="right" w:leader="dot" w:pos="10203"/>
            </w:tabs>
            <w:ind w:firstLine="420"/>
            <w:rPr>
              <w:rFonts w:hint="eastAsia"/>
              <w:szCs w:val="21"/>
            </w:rPr>
          </w:pPr>
          <w:r>
            <w:fldChar w:fldCharType="begin"/>
          </w:r>
          <w:r>
            <w:instrText xml:space="preserve"> HYPERLINK \l "_Toc9063" </w:instrText>
          </w:r>
          <w:r>
            <w:fldChar w:fldCharType="separate"/>
          </w:r>
          <w:r>
            <w:rPr>
              <w:rFonts w:hint="eastAsia"/>
              <w:szCs w:val="21"/>
            </w:rPr>
            <w:t>7  认证证书的暂停、撤销和注销</w:t>
          </w:r>
          <w:r>
            <w:rPr>
              <w:szCs w:val="21"/>
            </w:rPr>
            <w:tab/>
          </w:r>
          <w:r>
            <w:rPr>
              <w:szCs w:val="21"/>
            </w:rPr>
            <w:fldChar w:fldCharType="begin"/>
          </w:r>
          <w:r>
            <w:rPr>
              <w:szCs w:val="21"/>
            </w:rPr>
            <w:instrText xml:space="preserve"> PAGEREF _Toc9063 \h </w:instrText>
          </w:r>
          <w:r>
            <w:rPr>
              <w:szCs w:val="21"/>
            </w:rPr>
            <w:fldChar w:fldCharType="separate"/>
          </w:r>
          <w:r>
            <w:rPr>
              <w:rFonts w:hint="eastAsia"/>
              <w:szCs w:val="21"/>
            </w:rPr>
            <w:t>9</w:t>
          </w:r>
          <w:r>
            <w:rPr>
              <w:szCs w:val="21"/>
            </w:rPr>
            <w:fldChar w:fldCharType="end"/>
          </w:r>
          <w:r>
            <w:rPr>
              <w:szCs w:val="21"/>
            </w:rPr>
            <w:fldChar w:fldCharType="end"/>
          </w:r>
        </w:p>
        <w:p w14:paraId="7E81F298">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"_Toc30148" </w:instrText>
          </w:r>
          <w:r>
            <w:fldChar w:fldCharType="separate"/>
          </w:r>
          <w:r>
            <w:rPr>
              <w:rFonts w:hint="eastAsia"/>
              <w:b w:val="0"/>
              <w:bCs w:val="0"/>
              <w:sz w:val="21"/>
              <w:szCs w:val="21"/>
            </w:rPr>
            <w:t>7.1  总则</w:t>
          </w:r>
          <w:r>
            <w:rPr>
              <w:b w:val="0"/>
              <w:bCs w:val="0"/>
              <w:sz w:val="21"/>
              <w:szCs w:val="21"/>
            </w:rPr>
            <w:tab/>
          </w:r>
          <w:r>
            <w:rPr>
              <w:b w:val="0"/>
              <w:bCs w:val="0"/>
              <w:sz w:val="21"/>
              <w:szCs w:val="21"/>
            </w:rPr>
            <w:fldChar w:fldCharType="begin"/>
          </w:r>
          <w:r>
            <w:rPr>
              <w:b w:val="0"/>
              <w:bCs w:val="0"/>
              <w:sz w:val="21"/>
              <w:szCs w:val="21"/>
            </w:rPr>
            <w:instrText xml:space="preserve"> PAGEREF _Toc30148 \h </w:instrText>
          </w:r>
          <w:r>
            <w:rPr>
              <w:b w:val="0"/>
              <w:bCs w:val="0"/>
              <w:sz w:val="21"/>
              <w:szCs w:val="21"/>
            </w:rPr>
            <w:fldChar w:fldCharType="separate"/>
          </w:r>
          <w:r>
            <w:rPr>
              <w:rFonts w:hint="eastAsia"/>
              <w:b w:val="0"/>
              <w:bCs w:val="0"/>
              <w:sz w:val="21"/>
              <w:szCs w:val="21"/>
            </w:rPr>
            <w:t>10</w:t>
          </w:r>
          <w:r>
            <w:rPr>
              <w:b w:val="0"/>
              <w:bCs w:val="0"/>
              <w:sz w:val="21"/>
              <w:szCs w:val="21"/>
            </w:rPr>
            <w:fldChar w:fldCharType="end"/>
          </w:r>
          <w:r>
            <w:rPr>
              <w:b w:val="0"/>
              <w:bCs w:val="0"/>
              <w:sz w:val="21"/>
              <w:szCs w:val="21"/>
            </w:rPr>
            <w:fldChar w:fldCharType="end"/>
          </w:r>
        </w:p>
        <w:p w14:paraId="5A44AE6C">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"_Toc10091" </w:instrText>
          </w:r>
          <w:r>
            <w:fldChar w:fldCharType="separate"/>
          </w:r>
          <w:r>
            <w:rPr>
              <w:rFonts w:hint="eastAsia"/>
              <w:b w:val="0"/>
              <w:bCs w:val="0"/>
              <w:sz w:val="21"/>
              <w:szCs w:val="21"/>
            </w:rPr>
            <w:t>7.2  认证证书的暂停</w:t>
          </w:r>
          <w:r>
            <w:rPr>
              <w:b w:val="0"/>
              <w:bCs w:val="0"/>
              <w:sz w:val="21"/>
              <w:szCs w:val="21"/>
            </w:rPr>
            <w:tab/>
          </w:r>
          <w:r>
            <w:rPr>
              <w:b w:val="0"/>
              <w:bCs w:val="0"/>
              <w:sz w:val="21"/>
              <w:szCs w:val="21"/>
            </w:rPr>
            <w:fldChar w:fldCharType="begin"/>
          </w:r>
          <w:r>
            <w:rPr>
              <w:b w:val="0"/>
              <w:bCs w:val="0"/>
              <w:sz w:val="21"/>
              <w:szCs w:val="21"/>
            </w:rPr>
            <w:instrText xml:space="preserve"> PAGEREF _Toc10091 \h </w:instrText>
          </w:r>
          <w:r>
            <w:rPr>
              <w:b w:val="0"/>
              <w:bCs w:val="0"/>
              <w:sz w:val="21"/>
              <w:szCs w:val="21"/>
            </w:rPr>
            <w:fldChar w:fldCharType="separate"/>
          </w:r>
          <w:r>
            <w:rPr>
              <w:rFonts w:hint="eastAsia"/>
              <w:b w:val="0"/>
              <w:bCs w:val="0"/>
              <w:sz w:val="21"/>
              <w:szCs w:val="21"/>
            </w:rPr>
            <w:t>10</w:t>
          </w:r>
          <w:r>
            <w:rPr>
              <w:b w:val="0"/>
              <w:bCs w:val="0"/>
              <w:sz w:val="21"/>
              <w:szCs w:val="21"/>
            </w:rPr>
            <w:fldChar w:fldCharType="end"/>
          </w:r>
          <w:r>
            <w:rPr>
              <w:b w:val="0"/>
              <w:bCs w:val="0"/>
              <w:sz w:val="21"/>
              <w:szCs w:val="21"/>
            </w:rPr>
            <w:fldChar w:fldCharType="end"/>
          </w:r>
        </w:p>
        <w:p w14:paraId="17E45328">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"_Toc23535" </w:instrText>
          </w:r>
          <w:r>
            <w:fldChar w:fldCharType="separate"/>
          </w:r>
          <w:r>
            <w:rPr>
              <w:rFonts w:hint="eastAsia"/>
              <w:b w:val="0"/>
              <w:bCs w:val="0"/>
              <w:sz w:val="21"/>
              <w:szCs w:val="21"/>
            </w:rPr>
            <w:t>7.3  认证证书的撤销</w:t>
          </w:r>
          <w:r>
            <w:rPr>
              <w:b w:val="0"/>
              <w:bCs w:val="0"/>
              <w:sz w:val="21"/>
              <w:szCs w:val="21"/>
            </w:rPr>
            <w:tab/>
          </w:r>
          <w:r>
            <w:rPr>
              <w:b w:val="0"/>
              <w:bCs w:val="0"/>
              <w:sz w:val="21"/>
              <w:szCs w:val="21"/>
            </w:rPr>
            <w:fldChar w:fldCharType="begin"/>
          </w:r>
          <w:r>
            <w:rPr>
              <w:b w:val="0"/>
              <w:bCs w:val="0"/>
              <w:sz w:val="21"/>
              <w:szCs w:val="21"/>
            </w:rPr>
            <w:instrText xml:space="preserve"> PAGEREF _Toc23535 \h </w:instrText>
          </w:r>
          <w:r>
            <w:rPr>
              <w:b w:val="0"/>
              <w:bCs w:val="0"/>
              <w:sz w:val="21"/>
              <w:szCs w:val="21"/>
            </w:rPr>
            <w:fldChar w:fldCharType="separate"/>
          </w:r>
          <w:r>
            <w:rPr>
              <w:rFonts w:hint="eastAsia"/>
              <w:b w:val="0"/>
              <w:bCs w:val="0"/>
              <w:sz w:val="21"/>
              <w:szCs w:val="21"/>
            </w:rPr>
            <w:t>10</w:t>
          </w:r>
          <w:r>
            <w:rPr>
              <w:b w:val="0"/>
              <w:bCs w:val="0"/>
              <w:sz w:val="21"/>
              <w:szCs w:val="21"/>
            </w:rPr>
            <w:fldChar w:fldCharType="end"/>
          </w:r>
          <w:r>
            <w:rPr>
              <w:b w:val="0"/>
              <w:bCs w:val="0"/>
              <w:sz w:val="21"/>
              <w:szCs w:val="21"/>
            </w:rPr>
            <w:fldChar w:fldCharType="end"/>
          </w:r>
        </w:p>
        <w:p w14:paraId="2D56EAEB">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"_Toc22249" </w:instrText>
          </w:r>
          <w:r>
            <w:fldChar w:fldCharType="separate"/>
          </w:r>
          <w:r>
            <w:rPr>
              <w:rFonts w:hint="eastAsia"/>
              <w:b w:val="0"/>
              <w:bCs w:val="0"/>
              <w:sz w:val="21"/>
              <w:szCs w:val="21"/>
            </w:rPr>
            <w:t>7.4  认证证书的注销</w:t>
          </w:r>
          <w:r>
            <w:rPr>
              <w:b w:val="0"/>
              <w:bCs w:val="0"/>
              <w:sz w:val="21"/>
              <w:szCs w:val="21"/>
            </w:rPr>
            <w:tab/>
          </w:r>
          <w:r>
            <w:rPr>
              <w:b w:val="0"/>
              <w:bCs w:val="0"/>
              <w:sz w:val="21"/>
              <w:szCs w:val="21"/>
            </w:rPr>
            <w:fldChar w:fldCharType="begin"/>
          </w:r>
          <w:r>
            <w:rPr>
              <w:b w:val="0"/>
              <w:bCs w:val="0"/>
              <w:sz w:val="21"/>
              <w:szCs w:val="21"/>
            </w:rPr>
            <w:instrText xml:space="preserve"> PAGEREF _Toc22249 \h </w:instrText>
          </w:r>
          <w:r>
            <w:rPr>
              <w:b w:val="0"/>
              <w:bCs w:val="0"/>
              <w:sz w:val="21"/>
              <w:szCs w:val="21"/>
            </w:rPr>
            <w:fldChar w:fldCharType="separate"/>
          </w:r>
          <w:r>
            <w:rPr>
              <w:rFonts w:hint="eastAsia"/>
              <w:b w:val="0"/>
              <w:bCs w:val="0"/>
              <w:sz w:val="21"/>
              <w:szCs w:val="21"/>
            </w:rPr>
            <w:t>10</w:t>
          </w:r>
          <w:r>
            <w:rPr>
              <w:b w:val="0"/>
              <w:bCs w:val="0"/>
              <w:sz w:val="21"/>
              <w:szCs w:val="21"/>
            </w:rPr>
            <w:fldChar w:fldCharType="end"/>
          </w:r>
          <w:r>
            <w:rPr>
              <w:b w:val="0"/>
              <w:bCs w:val="0"/>
              <w:sz w:val="21"/>
              <w:szCs w:val="21"/>
            </w:rPr>
            <w:fldChar w:fldCharType="end"/>
          </w:r>
        </w:p>
        <w:p w14:paraId="7A7EF47C">
          <w:pPr>
            <w:pStyle w:val="9"/>
            <w:tabs>
              <w:tab w:val="right" w:leader="dot" w:pos="10203"/>
            </w:tabs>
            <w:ind w:firstLine="420"/>
            <w:rPr>
              <w:rFonts w:hint="eastAsia"/>
              <w:szCs w:val="21"/>
            </w:rPr>
          </w:pPr>
          <w:r>
            <w:fldChar w:fldCharType="begin"/>
          </w:r>
          <w:r>
            <w:instrText xml:space="preserve"> HYPERLINK \l "_Toc32153" </w:instrText>
          </w:r>
          <w:r>
            <w:fldChar w:fldCharType="separate"/>
          </w:r>
          <w:r>
            <w:rPr>
              <w:rFonts w:hint="eastAsia"/>
              <w:szCs w:val="21"/>
            </w:rPr>
            <w:t>8  申诉（投诉）处理</w:t>
          </w:r>
          <w:r>
            <w:rPr>
              <w:szCs w:val="21"/>
            </w:rPr>
            <w:tab/>
          </w:r>
          <w:r>
            <w:rPr>
              <w:szCs w:val="21"/>
            </w:rPr>
            <w:fldChar w:fldCharType="begin"/>
          </w:r>
          <w:r>
            <w:rPr>
              <w:szCs w:val="21"/>
            </w:rPr>
            <w:instrText xml:space="preserve"> PAGEREF _Toc32153 \h </w:instrText>
          </w:r>
          <w:r>
            <w:rPr>
              <w:szCs w:val="21"/>
            </w:rPr>
            <w:fldChar w:fldCharType="separate"/>
          </w:r>
          <w:r>
            <w:rPr>
              <w:rFonts w:hint="eastAsia"/>
              <w:szCs w:val="21"/>
            </w:rPr>
            <w:t>10</w:t>
          </w:r>
          <w:r>
            <w:rPr>
              <w:szCs w:val="21"/>
            </w:rPr>
            <w:fldChar w:fldCharType="end"/>
          </w:r>
          <w:r>
            <w:rPr>
              <w:szCs w:val="21"/>
            </w:rPr>
            <w:fldChar w:fldCharType="end"/>
          </w:r>
        </w:p>
        <w:p w14:paraId="7376454F">
          <w:pPr>
            <w:pStyle w:val="9"/>
            <w:tabs>
              <w:tab w:val="right" w:leader="dot" w:pos="10203"/>
            </w:tabs>
            <w:ind w:firstLine="420"/>
            <w:rPr>
              <w:rFonts w:hint="eastAsia"/>
              <w:szCs w:val="21"/>
            </w:rPr>
          </w:pPr>
          <w:r>
            <w:fldChar w:fldCharType="begin"/>
          </w:r>
          <w:r>
            <w:instrText xml:space="preserve"> HYPERLINK \l "_Toc24354" </w:instrText>
          </w:r>
          <w:r>
            <w:fldChar w:fldCharType="separate"/>
          </w:r>
          <w:r>
            <w:rPr>
              <w:rFonts w:hint="eastAsia"/>
              <w:szCs w:val="21"/>
            </w:rPr>
            <w:t>9  信息公开与报告</w:t>
          </w:r>
          <w:r>
            <w:rPr>
              <w:szCs w:val="21"/>
            </w:rPr>
            <w:tab/>
          </w:r>
          <w:r>
            <w:rPr>
              <w:szCs w:val="21"/>
            </w:rPr>
            <w:fldChar w:fldCharType="begin"/>
          </w:r>
          <w:r>
            <w:rPr>
              <w:szCs w:val="21"/>
            </w:rPr>
            <w:instrText xml:space="preserve"> PAGEREF _Toc24354 \h </w:instrText>
          </w:r>
          <w:r>
            <w:rPr>
              <w:szCs w:val="21"/>
            </w:rPr>
            <w:fldChar w:fldCharType="separate"/>
          </w:r>
          <w:r>
            <w:rPr>
              <w:rFonts w:hint="eastAsia"/>
              <w:szCs w:val="21"/>
            </w:rPr>
            <w:t>10</w:t>
          </w:r>
          <w:r>
            <w:rPr>
              <w:szCs w:val="21"/>
            </w:rPr>
            <w:fldChar w:fldCharType="end"/>
          </w:r>
          <w:r>
            <w:rPr>
              <w:szCs w:val="21"/>
            </w:rPr>
            <w:fldChar w:fldCharType="end"/>
          </w:r>
        </w:p>
        <w:p w14:paraId="1B4DE91A">
          <w:pPr>
            <w:pStyle w:val="9"/>
            <w:tabs>
              <w:tab w:val="right" w:leader="dot" w:pos="10203"/>
            </w:tabs>
            <w:ind w:firstLine="420"/>
            <w:rPr>
              <w:rFonts w:hint="eastAsia"/>
              <w:szCs w:val="21"/>
            </w:rPr>
          </w:pPr>
          <w:r>
            <w:fldChar w:fldCharType="begin"/>
          </w:r>
          <w:r>
            <w:instrText xml:space="preserve"> HYPERLINK \l "_Toc9321" </w:instrText>
          </w:r>
          <w:r>
            <w:fldChar w:fldCharType="separate"/>
          </w:r>
          <w:r>
            <w:rPr>
              <w:rFonts w:hint="eastAsia"/>
              <w:szCs w:val="21"/>
            </w:rPr>
            <w:t>10  认证记录</w:t>
          </w:r>
          <w:r>
            <w:rPr>
              <w:szCs w:val="21"/>
            </w:rPr>
            <w:tab/>
          </w:r>
          <w:r>
            <w:rPr>
              <w:szCs w:val="21"/>
            </w:rPr>
            <w:fldChar w:fldCharType="begin"/>
          </w:r>
          <w:r>
            <w:rPr>
              <w:szCs w:val="21"/>
            </w:rPr>
            <w:instrText xml:space="preserve"> PAGEREF _Toc9321 \h </w:instrText>
          </w:r>
          <w:r>
            <w:rPr>
              <w:szCs w:val="21"/>
            </w:rPr>
            <w:fldChar w:fldCharType="separate"/>
          </w:r>
          <w:r>
            <w:rPr>
              <w:rFonts w:hint="eastAsia"/>
              <w:szCs w:val="21"/>
            </w:rPr>
            <w:t>11</w:t>
          </w:r>
          <w:r>
            <w:rPr>
              <w:szCs w:val="21"/>
            </w:rPr>
            <w:fldChar w:fldCharType="end"/>
          </w:r>
          <w:r>
            <w:rPr>
              <w:szCs w:val="21"/>
            </w:rPr>
            <w:fldChar w:fldCharType="end"/>
          </w:r>
        </w:p>
        <w:p w14:paraId="16F45899">
          <w:pPr>
            <w:pStyle w:val="9"/>
            <w:tabs>
              <w:tab w:val="right" w:leader="dot" w:pos="10203"/>
            </w:tabs>
            <w:ind w:firstLine="420"/>
            <w:rPr>
              <w:rFonts w:hint="eastAsia"/>
              <w:szCs w:val="21"/>
            </w:rPr>
          </w:pPr>
          <w:r>
            <w:fldChar w:fldCharType="begin"/>
          </w:r>
          <w:r>
            <w:instrText xml:space="preserve"> HYPERLINK \l "_Toc5862" </w:instrText>
          </w:r>
          <w:r>
            <w:fldChar w:fldCharType="separate"/>
          </w:r>
          <w:r>
            <w:rPr>
              <w:rFonts w:hint="eastAsia"/>
              <w:szCs w:val="21"/>
            </w:rPr>
            <w:t>11  其他</w:t>
          </w:r>
          <w:r>
            <w:rPr>
              <w:szCs w:val="21"/>
            </w:rPr>
            <w:tab/>
          </w:r>
          <w:r>
            <w:rPr>
              <w:szCs w:val="21"/>
            </w:rPr>
            <w:fldChar w:fldCharType="begin"/>
          </w:r>
          <w:r>
            <w:rPr>
              <w:szCs w:val="21"/>
            </w:rPr>
            <w:instrText xml:space="preserve"> PAGEREF _Toc5862 \h </w:instrText>
          </w:r>
          <w:r>
            <w:rPr>
              <w:szCs w:val="21"/>
            </w:rPr>
            <w:fldChar w:fldCharType="separate"/>
          </w:r>
          <w:r>
            <w:rPr>
              <w:rFonts w:hint="eastAsia"/>
              <w:szCs w:val="21"/>
            </w:rPr>
            <w:t>12</w:t>
          </w:r>
          <w:r>
            <w:rPr>
              <w:szCs w:val="21"/>
            </w:rPr>
            <w:fldChar w:fldCharType="end"/>
          </w:r>
          <w:r>
            <w:rPr>
              <w:szCs w:val="21"/>
            </w:rPr>
            <w:fldChar w:fldCharType="end"/>
          </w:r>
        </w:p>
        <w:p w14:paraId="36F7AA5E">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"_Toc14503" </w:instrText>
          </w:r>
          <w:r>
            <w:fldChar w:fldCharType="separate"/>
          </w:r>
          <w:r>
            <w:rPr>
              <w:rFonts w:hint="eastAsia"/>
              <w:b w:val="0"/>
              <w:bCs w:val="0"/>
              <w:sz w:val="21"/>
              <w:szCs w:val="21"/>
            </w:rPr>
            <w:t>11.1  认证标准换版</w:t>
          </w:r>
          <w:r>
            <w:rPr>
              <w:b w:val="0"/>
              <w:bCs w:val="0"/>
              <w:sz w:val="21"/>
              <w:szCs w:val="21"/>
            </w:rPr>
            <w:tab/>
          </w:r>
          <w:r>
            <w:rPr>
              <w:b w:val="0"/>
              <w:bCs w:val="0"/>
              <w:sz w:val="21"/>
              <w:szCs w:val="21"/>
            </w:rPr>
            <w:fldChar w:fldCharType="begin"/>
          </w:r>
          <w:r>
            <w:rPr>
              <w:b w:val="0"/>
              <w:bCs w:val="0"/>
              <w:sz w:val="21"/>
              <w:szCs w:val="21"/>
            </w:rPr>
            <w:instrText xml:space="preserve"> PAGEREF _Toc14503 \h </w:instrText>
          </w:r>
          <w:r>
            <w:rPr>
              <w:b w:val="0"/>
              <w:bCs w:val="0"/>
              <w:sz w:val="21"/>
              <w:szCs w:val="21"/>
            </w:rPr>
            <w:fldChar w:fldCharType="separate"/>
          </w:r>
          <w:r>
            <w:rPr>
              <w:rFonts w:hint="eastAsia"/>
              <w:b w:val="0"/>
              <w:bCs w:val="0"/>
              <w:sz w:val="21"/>
              <w:szCs w:val="21"/>
            </w:rPr>
            <w:t>12</w:t>
          </w:r>
          <w:r>
            <w:rPr>
              <w:b w:val="0"/>
              <w:bCs w:val="0"/>
              <w:sz w:val="21"/>
              <w:szCs w:val="21"/>
            </w:rPr>
            <w:fldChar w:fldCharType="end"/>
          </w:r>
          <w:r>
            <w:rPr>
              <w:b w:val="0"/>
              <w:bCs w:val="0"/>
              <w:sz w:val="21"/>
              <w:szCs w:val="21"/>
            </w:rPr>
            <w:fldChar w:fldCharType="end"/>
          </w:r>
        </w:p>
        <w:p w14:paraId="564FA83F">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"_Toc26409" </w:instrText>
          </w:r>
          <w:r>
            <w:fldChar w:fldCharType="separate"/>
          </w:r>
          <w:r>
            <w:rPr>
              <w:rFonts w:hint="eastAsia"/>
              <w:b w:val="0"/>
              <w:bCs w:val="0"/>
              <w:sz w:val="21"/>
              <w:szCs w:val="21"/>
            </w:rPr>
            <w:t>11.2  内部审核</w:t>
          </w:r>
          <w:r>
            <w:rPr>
              <w:b w:val="0"/>
              <w:bCs w:val="0"/>
              <w:sz w:val="21"/>
              <w:szCs w:val="21"/>
            </w:rPr>
            <w:tab/>
          </w:r>
          <w:r>
            <w:rPr>
              <w:b w:val="0"/>
              <w:bCs w:val="0"/>
              <w:sz w:val="21"/>
              <w:szCs w:val="21"/>
            </w:rPr>
            <w:fldChar w:fldCharType="begin"/>
          </w:r>
          <w:r>
            <w:rPr>
              <w:b w:val="0"/>
              <w:bCs w:val="0"/>
              <w:sz w:val="21"/>
              <w:szCs w:val="21"/>
            </w:rPr>
            <w:instrText xml:space="preserve"> PAGEREF _Toc26409 \h </w:instrText>
          </w:r>
          <w:r>
            <w:rPr>
              <w:b w:val="0"/>
              <w:bCs w:val="0"/>
              <w:sz w:val="21"/>
              <w:szCs w:val="21"/>
            </w:rPr>
            <w:fldChar w:fldCharType="separate"/>
          </w:r>
          <w:r>
            <w:rPr>
              <w:rFonts w:hint="eastAsia"/>
              <w:b w:val="0"/>
              <w:bCs w:val="0"/>
              <w:sz w:val="21"/>
              <w:szCs w:val="21"/>
            </w:rPr>
            <w:t>12</w:t>
          </w:r>
          <w:r>
            <w:rPr>
              <w:b w:val="0"/>
              <w:bCs w:val="0"/>
              <w:sz w:val="21"/>
              <w:szCs w:val="21"/>
            </w:rPr>
            <w:fldChar w:fldCharType="end"/>
          </w:r>
          <w:r>
            <w:rPr>
              <w:b w:val="0"/>
              <w:bCs w:val="0"/>
              <w:sz w:val="21"/>
              <w:szCs w:val="21"/>
            </w:rPr>
            <w:fldChar w:fldCharType="end"/>
          </w:r>
        </w:p>
        <w:p w14:paraId="48F65965">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"_Toc25093" </w:instrText>
          </w:r>
          <w:r>
            <w:fldChar w:fldCharType="separate"/>
          </w:r>
          <w:r>
            <w:rPr>
              <w:rFonts w:hint="eastAsia"/>
              <w:b w:val="0"/>
              <w:bCs w:val="0"/>
              <w:sz w:val="21"/>
              <w:szCs w:val="21"/>
            </w:rPr>
            <w:t>11.3  同行评议</w:t>
          </w:r>
          <w:r>
            <w:rPr>
              <w:b w:val="0"/>
              <w:bCs w:val="0"/>
              <w:sz w:val="21"/>
              <w:szCs w:val="21"/>
            </w:rPr>
            <w:tab/>
          </w:r>
          <w:r>
            <w:rPr>
              <w:b w:val="0"/>
              <w:bCs w:val="0"/>
              <w:sz w:val="21"/>
              <w:szCs w:val="21"/>
            </w:rPr>
            <w:fldChar w:fldCharType="begin"/>
          </w:r>
          <w:r>
            <w:rPr>
              <w:b w:val="0"/>
              <w:bCs w:val="0"/>
              <w:sz w:val="21"/>
              <w:szCs w:val="21"/>
            </w:rPr>
            <w:instrText xml:space="preserve"> PAGEREF _Toc25093 \h </w:instrText>
          </w:r>
          <w:r>
            <w:rPr>
              <w:b w:val="0"/>
              <w:bCs w:val="0"/>
              <w:sz w:val="21"/>
              <w:szCs w:val="21"/>
            </w:rPr>
            <w:fldChar w:fldCharType="separate"/>
          </w:r>
          <w:r>
            <w:rPr>
              <w:rFonts w:hint="eastAsia"/>
              <w:b w:val="0"/>
              <w:bCs w:val="0"/>
              <w:sz w:val="21"/>
              <w:szCs w:val="21"/>
            </w:rPr>
            <w:t>12</w:t>
          </w:r>
          <w:r>
            <w:rPr>
              <w:b w:val="0"/>
              <w:bCs w:val="0"/>
              <w:sz w:val="21"/>
              <w:szCs w:val="21"/>
            </w:rPr>
            <w:fldChar w:fldCharType="end"/>
          </w:r>
          <w:r>
            <w:rPr>
              <w:b w:val="0"/>
              <w:bCs w:val="0"/>
              <w:sz w:val="21"/>
              <w:szCs w:val="21"/>
            </w:rPr>
            <w:fldChar w:fldCharType="end"/>
          </w:r>
        </w:p>
        <w:p w14:paraId="2DD04FBC">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"_Toc22842" </w:instrText>
          </w:r>
          <w:r>
            <w:fldChar w:fldCharType="separate"/>
          </w:r>
          <w:r>
            <w:rPr>
              <w:rFonts w:hint="eastAsia"/>
              <w:b w:val="0"/>
              <w:bCs w:val="0"/>
              <w:sz w:val="21"/>
              <w:szCs w:val="21"/>
            </w:rPr>
            <w:t>11.4  CXMS技术服务</w:t>
          </w:r>
          <w:r>
            <w:rPr>
              <w:b w:val="0"/>
              <w:bCs w:val="0"/>
              <w:sz w:val="21"/>
              <w:szCs w:val="21"/>
            </w:rPr>
            <w:tab/>
          </w:r>
          <w:r>
            <w:rPr>
              <w:b w:val="0"/>
              <w:bCs w:val="0"/>
              <w:sz w:val="21"/>
              <w:szCs w:val="21"/>
            </w:rPr>
            <w:fldChar w:fldCharType="begin"/>
          </w:r>
          <w:r>
            <w:rPr>
              <w:b w:val="0"/>
              <w:bCs w:val="0"/>
              <w:sz w:val="21"/>
              <w:szCs w:val="21"/>
            </w:rPr>
            <w:instrText xml:space="preserve"> PAGEREF _Toc22842 \h </w:instrText>
          </w:r>
          <w:r>
            <w:rPr>
              <w:b w:val="0"/>
              <w:bCs w:val="0"/>
              <w:sz w:val="21"/>
              <w:szCs w:val="21"/>
            </w:rPr>
            <w:fldChar w:fldCharType="separate"/>
          </w:r>
          <w:r>
            <w:rPr>
              <w:rFonts w:hint="eastAsia"/>
              <w:b w:val="0"/>
              <w:bCs w:val="0"/>
              <w:sz w:val="21"/>
              <w:szCs w:val="21"/>
            </w:rPr>
            <w:t>12</w:t>
          </w:r>
          <w:r>
            <w:rPr>
              <w:b w:val="0"/>
              <w:bCs w:val="0"/>
              <w:sz w:val="21"/>
              <w:szCs w:val="21"/>
            </w:rPr>
            <w:fldChar w:fldCharType="end"/>
          </w:r>
          <w:r>
            <w:rPr>
              <w:b w:val="0"/>
              <w:bCs w:val="0"/>
              <w:sz w:val="21"/>
              <w:szCs w:val="21"/>
            </w:rPr>
            <w:fldChar w:fldCharType="end"/>
          </w:r>
        </w:p>
        <w:p w14:paraId="2B8FA32F">
          <w:pPr>
            <w:pStyle w:val="10"/>
            <w:tabs>
              <w:tab w:val="right" w:leader="dot" w:pos="10203"/>
              <w:tab w:val="clear" w:pos="1320"/>
              <w:tab w:val="clear" w:pos="8296"/>
            </w:tabs>
            <w:ind w:firstLine="420"/>
            <w:rPr>
              <w:rFonts w:hint="eastAsia"/>
              <w:b w:val="0"/>
              <w:bCs w:val="0"/>
              <w:sz w:val="21"/>
              <w:szCs w:val="21"/>
            </w:rPr>
          </w:pPr>
          <w:r>
            <w:fldChar w:fldCharType="begin"/>
          </w:r>
          <w:r>
            <w:instrText xml:space="preserve"> HYPERLINK \l "_Toc2926" </w:instrText>
          </w:r>
          <w:r>
            <w:fldChar w:fldCharType="separate"/>
          </w:r>
          <w:r>
            <w:rPr>
              <w:rFonts w:hint="eastAsia"/>
              <w:b w:val="0"/>
              <w:bCs w:val="0"/>
              <w:sz w:val="21"/>
              <w:szCs w:val="21"/>
            </w:rPr>
            <w:t>11.5  认证数据安全</w:t>
          </w:r>
          <w:r>
            <w:rPr>
              <w:b w:val="0"/>
              <w:bCs w:val="0"/>
              <w:sz w:val="21"/>
              <w:szCs w:val="21"/>
            </w:rPr>
            <w:tab/>
          </w:r>
          <w:r>
            <w:rPr>
              <w:b w:val="0"/>
              <w:bCs w:val="0"/>
              <w:sz w:val="21"/>
              <w:szCs w:val="21"/>
            </w:rPr>
            <w:fldChar w:fldCharType="begin"/>
          </w:r>
          <w:r>
            <w:rPr>
              <w:b w:val="0"/>
              <w:bCs w:val="0"/>
              <w:sz w:val="21"/>
              <w:szCs w:val="21"/>
            </w:rPr>
            <w:instrText xml:space="preserve"> PAGEREF _Toc2926 \h </w:instrText>
          </w:r>
          <w:r>
            <w:rPr>
              <w:b w:val="0"/>
              <w:bCs w:val="0"/>
              <w:sz w:val="21"/>
              <w:szCs w:val="21"/>
            </w:rPr>
            <w:fldChar w:fldCharType="separate"/>
          </w:r>
          <w:r>
            <w:rPr>
              <w:rFonts w:hint="eastAsia"/>
              <w:b w:val="0"/>
              <w:bCs w:val="0"/>
              <w:sz w:val="21"/>
              <w:szCs w:val="21"/>
            </w:rPr>
            <w:t>12</w:t>
          </w:r>
          <w:r>
            <w:rPr>
              <w:b w:val="0"/>
              <w:bCs w:val="0"/>
              <w:sz w:val="21"/>
              <w:szCs w:val="21"/>
            </w:rPr>
            <w:fldChar w:fldCharType="end"/>
          </w:r>
          <w:r>
            <w:rPr>
              <w:b w:val="0"/>
              <w:bCs w:val="0"/>
              <w:sz w:val="21"/>
              <w:szCs w:val="21"/>
            </w:rPr>
            <w:fldChar w:fldCharType="end"/>
          </w:r>
        </w:p>
        <w:p w14:paraId="40740B48">
          <w:pPr>
            <w:pStyle w:val="9"/>
            <w:tabs>
              <w:tab w:val="right" w:leader="dot" w:pos="10203"/>
            </w:tabs>
            <w:ind w:firstLine="420"/>
            <w:rPr>
              <w:rFonts w:hint="eastAsia"/>
              <w:szCs w:val="21"/>
            </w:rPr>
          </w:pPr>
          <w:r>
            <w:fldChar w:fldCharType="begin"/>
          </w:r>
          <w:r>
            <w:instrText xml:space="preserve"> HYPERLINK \l "_Toc32717" </w:instrText>
          </w:r>
          <w:r>
            <w:fldChar w:fldCharType="separate"/>
          </w:r>
          <w:r>
            <w:rPr>
              <w:rFonts w:hint="eastAsia"/>
              <w:szCs w:val="21"/>
            </w:rPr>
            <w:t>12  附则</w:t>
          </w:r>
          <w:r>
            <w:rPr>
              <w:szCs w:val="21"/>
            </w:rPr>
            <w:tab/>
          </w:r>
          <w:r>
            <w:rPr>
              <w:szCs w:val="21"/>
            </w:rPr>
            <w:fldChar w:fldCharType="begin"/>
          </w:r>
          <w:r>
            <w:rPr>
              <w:szCs w:val="21"/>
            </w:rPr>
            <w:instrText xml:space="preserve"> PAGEREF _Toc32717 \h </w:instrText>
          </w:r>
          <w:r>
            <w:rPr>
              <w:szCs w:val="21"/>
            </w:rPr>
            <w:fldChar w:fldCharType="separate"/>
          </w:r>
          <w:r>
            <w:rPr>
              <w:rFonts w:hint="eastAsia"/>
              <w:szCs w:val="21"/>
            </w:rPr>
            <w:t>12</w:t>
          </w:r>
          <w:r>
            <w:rPr>
              <w:szCs w:val="21"/>
            </w:rPr>
            <w:fldChar w:fldCharType="end"/>
          </w:r>
          <w:r>
            <w:rPr>
              <w:szCs w:val="21"/>
            </w:rPr>
            <w:fldChar w:fldCharType="end"/>
          </w:r>
        </w:p>
        <w:p w14:paraId="3EE18E64">
          <w:pPr>
            <w:pStyle w:val="9"/>
            <w:tabs>
              <w:tab w:val="right" w:leader="dot" w:pos="10203"/>
            </w:tabs>
            <w:ind w:firstLine="420"/>
            <w:rPr>
              <w:rFonts w:hint="eastAsia"/>
              <w:szCs w:val="21"/>
            </w:rPr>
          </w:pPr>
          <w:r>
            <w:fldChar w:fldCharType="begin"/>
          </w:r>
          <w:r>
            <w:instrText xml:space="preserve"> HYPERLINK \l "_Toc19056" </w:instrText>
          </w:r>
          <w:r>
            <w:fldChar w:fldCharType="separate"/>
          </w:r>
          <w:r>
            <w:rPr>
              <w:szCs w:val="21"/>
            </w:rPr>
            <w:t>附录 A</w:t>
          </w:r>
          <w:r>
            <w:rPr>
              <w:rFonts w:hint="eastAsia"/>
              <w:szCs w:val="21"/>
            </w:rPr>
            <w:t xml:space="preserve"> CXMS</w:t>
          </w:r>
          <w:r>
            <w:rPr>
              <w:szCs w:val="21"/>
            </w:rPr>
            <w:t>认证业务范围分类和风险类型示例</w:t>
          </w:r>
          <w:r>
            <w:rPr>
              <w:szCs w:val="21"/>
            </w:rPr>
            <w:tab/>
          </w:r>
          <w:r>
            <w:rPr>
              <w:szCs w:val="21"/>
            </w:rPr>
            <w:fldChar w:fldCharType="begin"/>
          </w:r>
          <w:r>
            <w:rPr>
              <w:szCs w:val="21"/>
            </w:rPr>
            <w:instrText xml:space="preserve"> PAGEREF _Toc19056 \h </w:instrText>
          </w:r>
          <w:r>
            <w:rPr>
              <w:szCs w:val="21"/>
            </w:rPr>
            <w:fldChar w:fldCharType="separate"/>
          </w:r>
          <w:r>
            <w:rPr>
              <w:rFonts w:hint="eastAsia"/>
              <w:szCs w:val="21"/>
            </w:rPr>
            <w:t>14</w:t>
          </w:r>
          <w:r>
            <w:rPr>
              <w:szCs w:val="21"/>
            </w:rPr>
            <w:fldChar w:fldCharType="end"/>
          </w:r>
          <w:r>
            <w:rPr>
              <w:szCs w:val="21"/>
            </w:rPr>
            <w:fldChar w:fldCharType="end"/>
          </w:r>
        </w:p>
        <w:p w14:paraId="6E2065DF">
          <w:pPr>
            <w:pStyle w:val="9"/>
            <w:tabs>
              <w:tab w:val="right" w:leader="dot" w:pos="10203"/>
            </w:tabs>
            <w:ind w:firstLine="420"/>
            <w:rPr>
              <w:rFonts w:hint="eastAsia"/>
              <w:szCs w:val="21"/>
            </w:rPr>
          </w:pPr>
          <w:r>
            <w:fldChar w:fldCharType="begin"/>
          </w:r>
          <w:r>
            <w:instrText xml:space="preserve"> HYPERLINK \l "_Toc22836" </w:instrText>
          </w:r>
          <w:r>
            <w:fldChar w:fldCharType="separate"/>
          </w:r>
          <w:r>
            <w:rPr>
              <w:szCs w:val="21"/>
            </w:rPr>
            <w:t>附录 B</w:t>
          </w:r>
          <w:r>
            <w:rPr>
              <w:rFonts w:hint="eastAsia"/>
              <w:szCs w:val="21"/>
            </w:rPr>
            <w:t xml:space="preserve"> CXMS</w:t>
          </w:r>
          <w:r>
            <w:rPr>
              <w:szCs w:val="21"/>
            </w:rPr>
            <w:t>认证审核时间要求</w:t>
          </w:r>
          <w:r>
            <w:rPr>
              <w:szCs w:val="21"/>
            </w:rPr>
            <w:tab/>
          </w:r>
          <w:r>
            <w:rPr>
              <w:szCs w:val="21"/>
            </w:rPr>
            <w:fldChar w:fldCharType="begin"/>
          </w:r>
          <w:r>
            <w:rPr>
              <w:szCs w:val="21"/>
            </w:rPr>
            <w:instrText xml:space="preserve"> PAGEREF _Toc22836 \h </w:instrText>
          </w:r>
          <w:r>
            <w:rPr>
              <w:szCs w:val="21"/>
            </w:rPr>
            <w:fldChar w:fldCharType="separate"/>
          </w:r>
          <w:r>
            <w:rPr>
              <w:rFonts w:hint="eastAsia"/>
              <w:szCs w:val="21"/>
            </w:rPr>
            <w:t>15</w:t>
          </w:r>
          <w:r>
            <w:rPr>
              <w:szCs w:val="21"/>
            </w:rPr>
            <w:fldChar w:fldCharType="end"/>
          </w:r>
          <w:r>
            <w:rPr>
              <w:szCs w:val="21"/>
            </w:rPr>
            <w:fldChar w:fldCharType="end"/>
          </w:r>
        </w:p>
        <w:p w14:paraId="6BF10A27">
          <w:pPr>
            <w:pStyle w:val="9"/>
            <w:tabs>
              <w:tab w:val="right" w:leader="dot" w:pos="10203"/>
            </w:tabs>
            <w:ind w:firstLine="420"/>
            <w:rPr>
              <w:rFonts w:hint="eastAsia"/>
              <w:szCs w:val="21"/>
            </w:rPr>
          </w:pPr>
          <w:r>
            <w:fldChar w:fldCharType="begin"/>
          </w:r>
          <w:r>
            <w:instrText xml:space="preserve"> HYPERLINK \l "_Toc28431" </w:instrText>
          </w:r>
          <w:r>
            <w:fldChar w:fldCharType="separate"/>
          </w:r>
          <w:r>
            <w:rPr>
              <w:szCs w:val="21"/>
            </w:rPr>
            <w:t>附录 C</w:t>
          </w:r>
          <w:r>
            <w:rPr>
              <w:rFonts w:hint="eastAsia"/>
              <w:szCs w:val="21"/>
            </w:rPr>
            <w:t xml:space="preserve"> CXMS</w:t>
          </w:r>
          <w:r>
            <w:rPr>
              <w:szCs w:val="21"/>
            </w:rPr>
            <w:t>认证证书编号规则</w:t>
          </w:r>
          <w:r>
            <w:rPr>
              <w:szCs w:val="21"/>
            </w:rPr>
            <w:tab/>
          </w:r>
          <w:r>
            <w:rPr>
              <w:szCs w:val="21"/>
            </w:rPr>
            <w:fldChar w:fldCharType="begin"/>
          </w:r>
          <w:r>
            <w:rPr>
              <w:szCs w:val="21"/>
            </w:rPr>
            <w:instrText xml:space="preserve"> PAGEREF _Toc28431 \h </w:instrText>
          </w:r>
          <w:r>
            <w:rPr>
              <w:szCs w:val="21"/>
            </w:rPr>
            <w:fldChar w:fldCharType="separate"/>
          </w:r>
          <w:r>
            <w:rPr>
              <w:rFonts w:hint="eastAsia"/>
              <w:szCs w:val="21"/>
            </w:rPr>
            <w:t>16</w:t>
          </w:r>
          <w:r>
            <w:rPr>
              <w:szCs w:val="21"/>
            </w:rPr>
            <w:fldChar w:fldCharType="end"/>
          </w:r>
          <w:r>
            <w:rPr>
              <w:szCs w:val="21"/>
            </w:rPr>
            <w:fldChar w:fldCharType="end"/>
          </w:r>
        </w:p>
        <w:p w14:paraId="191F7AF9">
          <w:pPr>
            <w:pStyle w:val="9"/>
            <w:tabs>
              <w:tab w:val="right" w:leader="dot" w:pos="10203"/>
            </w:tabs>
            <w:ind w:firstLine="420"/>
            <w:rPr>
              <w:rFonts w:hint="eastAsia"/>
              <w:szCs w:val="21"/>
            </w:rPr>
          </w:pPr>
          <w:r>
            <w:fldChar w:fldCharType="begin"/>
          </w:r>
          <w:r>
            <w:instrText xml:space="preserve"> HYPERLINK \l "_Toc31865" </w:instrText>
          </w:r>
          <w:r>
            <w:fldChar w:fldCharType="separate"/>
          </w:r>
          <w:r>
            <w:rPr>
              <w:rFonts w:hint="eastAsia"/>
              <w:szCs w:val="21"/>
            </w:rPr>
            <w:t>附件一  机构认证业务范围</w:t>
          </w:r>
          <w:r>
            <w:rPr>
              <w:szCs w:val="21"/>
            </w:rPr>
            <w:tab/>
          </w:r>
          <w:r>
            <w:rPr>
              <w:szCs w:val="21"/>
            </w:rPr>
            <w:fldChar w:fldCharType="begin"/>
          </w:r>
          <w:r>
            <w:rPr>
              <w:szCs w:val="21"/>
            </w:rPr>
            <w:instrText xml:space="preserve"> PAGEREF _Toc31865 \h </w:instrText>
          </w:r>
          <w:r>
            <w:rPr>
              <w:szCs w:val="21"/>
            </w:rPr>
            <w:fldChar w:fldCharType="separate"/>
          </w:r>
          <w:r>
            <w:rPr>
              <w:rFonts w:hint="eastAsia"/>
              <w:szCs w:val="21"/>
            </w:rPr>
            <w:t>17</w:t>
          </w:r>
          <w:r>
            <w:rPr>
              <w:szCs w:val="21"/>
            </w:rPr>
            <w:fldChar w:fldCharType="end"/>
          </w:r>
          <w:r>
            <w:rPr>
              <w:szCs w:val="21"/>
            </w:rPr>
            <w:fldChar w:fldCharType="end"/>
          </w:r>
        </w:p>
        <w:p w14:paraId="67BD5F39">
          <w:pPr>
            <w:pStyle w:val="9"/>
            <w:tabs>
              <w:tab w:val="right" w:leader="dot" w:pos="10203"/>
            </w:tabs>
            <w:ind w:firstLine="420"/>
            <w:rPr>
              <w:rFonts w:hint="eastAsia"/>
              <w:szCs w:val="21"/>
            </w:rPr>
          </w:pPr>
          <w:r>
            <w:fldChar w:fldCharType="begin"/>
          </w:r>
          <w:r>
            <w:instrText xml:space="preserve"> HYPERLINK \l "_Toc26358" </w:instrText>
          </w:r>
          <w:r>
            <w:fldChar w:fldCharType="separate"/>
          </w:r>
          <w:r>
            <w:rPr>
              <w:rFonts w:hint="eastAsia"/>
              <w:szCs w:val="21"/>
            </w:rPr>
            <w:t>附件二  标准</w:t>
          </w:r>
          <w:r>
            <w:rPr>
              <w:szCs w:val="21"/>
            </w:rPr>
            <w:tab/>
          </w:r>
          <w:r>
            <w:rPr>
              <w:szCs w:val="21"/>
            </w:rPr>
            <w:fldChar w:fldCharType="begin"/>
          </w:r>
          <w:r>
            <w:rPr>
              <w:szCs w:val="21"/>
            </w:rPr>
            <w:instrText xml:space="preserve"> PAGEREF _Toc26358 \h </w:instrText>
          </w:r>
          <w:r>
            <w:rPr>
              <w:szCs w:val="21"/>
            </w:rPr>
            <w:fldChar w:fldCharType="separate"/>
          </w:r>
          <w:r>
            <w:rPr>
              <w:rFonts w:hint="eastAsia"/>
              <w:szCs w:val="21"/>
            </w:rPr>
            <w:t>18</w:t>
          </w:r>
          <w:r>
            <w:rPr>
              <w:szCs w:val="21"/>
            </w:rPr>
            <w:fldChar w:fldCharType="end"/>
          </w:r>
          <w:r>
            <w:rPr>
              <w:szCs w:val="21"/>
            </w:rPr>
            <w:fldChar w:fldCharType="end"/>
          </w:r>
        </w:p>
        <w:p w14:paraId="66FAF375">
          <w:pPr>
            <w:pStyle w:val="9"/>
            <w:tabs>
              <w:tab w:val="right" w:leader="dot" w:pos="10203"/>
            </w:tabs>
            <w:ind w:firstLine="420"/>
            <w:rPr>
              <w:rFonts w:hint="eastAsia"/>
              <w:szCs w:val="21"/>
            </w:rPr>
          </w:pPr>
          <w:r>
            <w:fldChar w:fldCharType="begin"/>
          </w:r>
          <w:r>
            <w:instrText xml:space="preserve"> HYPERLINK \l "_Toc12349" </w:instrText>
          </w:r>
          <w:r>
            <w:fldChar w:fldCharType="separate"/>
          </w:r>
          <w:r>
            <w:rPr>
              <w:rFonts w:hint="eastAsia"/>
              <w:szCs w:val="21"/>
            </w:rPr>
            <w:t>附件三  证书样板</w:t>
          </w:r>
          <w:r>
            <w:rPr>
              <w:szCs w:val="21"/>
            </w:rPr>
            <w:tab/>
          </w:r>
          <w:r>
            <w:rPr>
              <w:szCs w:val="21"/>
            </w:rPr>
            <w:fldChar w:fldCharType="begin"/>
          </w:r>
          <w:r>
            <w:rPr>
              <w:szCs w:val="21"/>
            </w:rPr>
            <w:instrText xml:space="preserve"> PAGEREF _Toc12349 \h </w:instrText>
          </w:r>
          <w:r>
            <w:rPr>
              <w:szCs w:val="21"/>
            </w:rPr>
            <w:fldChar w:fldCharType="separate"/>
          </w:r>
          <w:r>
            <w:rPr>
              <w:rFonts w:hint="eastAsia"/>
              <w:szCs w:val="21"/>
            </w:rPr>
            <w:t>51</w:t>
          </w:r>
          <w:r>
            <w:rPr>
              <w:szCs w:val="21"/>
            </w:rPr>
            <w:fldChar w:fldCharType="end"/>
          </w:r>
          <w:r>
            <w:rPr>
              <w:szCs w:val="21"/>
            </w:rPr>
            <w:fldChar w:fldCharType="end"/>
          </w:r>
        </w:p>
        <w:p w14:paraId="445AC2F8">
          <w:pPr>
            <w:pStyle w:val="9"/>
            <w:tabs>
              <w:tab w:val="right" w:leader="dot" w:pos="10203"/>
            </w:tabs>
            <w:ind w:firstLine="420"/>
            <w:rPr>
              <w:rFonts w:hint="eastAsia"/>
              <w:szCs w:val="21"/>
            </w:rPr>
          </w:pPr>
          <w:r>
            <w:fldChar w:fldCharType="begin"/>
          </w:r>
          <w:r>
            <w:instrText xml:space="preserve"> HYPERLINK \l "_Toc14177" </w:instrText>
          </w:r>
          <w:r>
            <w:fldChar w:fldCharType="separate"/>
          </w:r>
          <w:r>
            <w:rPr>
              <w:rFonts w:hint="eastAsia"/>
              <w:szCs w:val="21"/>
            </w:rPr>
            <w:t>附件四  机构标识</w:t>
          </w:r>
          <w:r>
            <w:rPr>
              <w:szCs w:val="21"/>
            </w:rPr>
            <w:tab/>
          </w:r>
          <w:r>
            <w:rPr>
              <w:szCs w:val="21"/>
            </w:rPr>
            <w:fldChar w:fldCharType="begin"/>
          </w:r>
          <w:r>
            <w:rPr>
              <w:szCs w:val="21"/>
            </w:rPr>
            <w:instrText xml:space="preserve"> PAGEREF _Toc14177 \h </w:instrText>
          </w:r>
          <w:r>
            <w:rPr>
              <w:szCs w:val="21"/>
            </w:rPr>
            <w:fldChar w:fldCharType="separate"/>
          </w:r>
          <w:r>
            <w:rPr>
              <w:rFonts w:hint="eastAsia"/>
              <w:szCs w:val="21"/>
            </w:rPr>
            <w:t>52</w:t>
          </w:r>
          <w:r>
            <w:rPr>
              <w:szCs w:val="21"/>
            </w:rPr>
            <w:fldChar w:fldCharType="end"/>
          </w:r>
          <w:r>
            <w:rPr>
              <w:szCs w:val="21"/>
            </w:rPr>
            <w:fldChar w:fldCharType="end"/>
          </w:r>
        </w:p>
        <w:p w14:paraId="68F67A69">
          <w:pPr>
            <w:ind w:firstLine="420"/>
            <w:rPr>
              <w:rFonts w:hint="eastAsia"/>
              <w:szCs w:val="21"/>
            </w:rPr>
          </w:pPr>
          <w:r>
            <w:rPr>
              <w:szCs w:val="21"/>
            </w:rPr>
            <w:fldChar w:fldCharType="end"/>
          </w:r>
        </w:p>
      </w:sdtContent>
    </w:sdt>
    <w:p w14:paraId="52C2F193">
      <w:pPr>
        <w:pStyle w:val="2"/>
        <w:rPr>
          <w:rFonts w:ascii="宋体" w:hAnsi="宋体"/>
        </w:rPr>
        <w:sectPr>
          <w:headerReference r:id="rId12" w:type="default"/>
          <w:footerReference r:id="rId13" w:type="default"/>
          <w:pgSz w:w="11905" w:h="16838"/>
          <w:pgMar w:top="851" w:right="851" w:bottom="851" w:left="851" w:header="340" w:footer="510" w:gutter="0"/>
          <w:pgNumType w:start="1"/>
          <w:cols w:space="720" w:num="1"/>
          <w:docGrid w:linePitch="317" w:charSpace="0"/>
        </w:sectPr>
      </w:pPr>
      <w:bookmarkStart w:id="7" w:name="_Toc4301"/>
    </w:p>
    <w:p w14:paraId="1BBA6FAB">
      <w:pPr>
        <w:pStyle w:val="2"/>
        <w:rPr>
          <w:rFonts w:ascii="宋体" w:hAnsi="宋体"/>
        </w:rPr>
      </w:pPr>
      <w:r>
        <w:rPr>
          <w:rFonts w:hint="eastAsia" w:ascii="宋体" w:hAnsi="宋体"/>
        </w:rPr>
        <w:t xml:space="preserve">1 </w:t>
      </w:r>
      <w:r>
        <w:rPr>
          <w:rFonts w:ascii="宋体" w:hAnsi="宋体"/>
        </w:rPr>
        <w:t>目的和适用范围</w:t>
      </w:r>
      <w:bookmarkEnd w:id="2"/>
      <w:bookmarkEnd w:id="3"/>
      <w:bookmarkEnd w:id="4"/>
      <w:bookmarkEnd w:id="5"/>
      <w:bookmarkEnd w:id="7"/>
    </w:p>
    <w:p w14:paraId="5A5AAFBD">
      <w:pPr>
        <w:autoSpaceDE/>
        <w:autoSpaceDN/>
        <w:spacing w:line="312" w:lineRule="auto"/>
        <w:ind w:firstLine="420"/>
        <w:rPr>
          <w:rFonts w:hint="eastAsia" w:cs="Times New Roman"/>
          <w:kern w:val="2"/>
          <w:szCs w:val="20"/>
        </w:rPr>
      </w:pPr>
      <w:r>
        <w:rPr>
          <w:rFonts w:cs="Times New Roman"/>
          <w:kern w:val="2"/>
          <w:szCs w:val="20"/>
        </w:rPr>
        <w:t>本规则依据认证认可相关法律法规，结合相关技术标准，规定了富利汇认证（宁夏）有限公司</w:t>
      </w:r>
      <w:r>
        <w:rPr>
          <w:rFonts w:hint="eastAsia" w:cs="Times New Roman"/>
          <w:kern w:val="2"/>
          <w:szCs w:val="20"/>
        </w:rPr>
        <w:t>（</w:t>
      </w:r>
      <w:r>
        <w:rPr>
          <w:rFonts w:cs="Times New Roman"/>
          <w:kern w:val="2"/>
          <w:szCs w:val="20"/>
        </w:rPr>
        <w:t>以下简称</w:t>
      </w:r>
      <w:r>
        <w:rPr>
          <w:rFonts w:hint="eastAsia" w:cs="Times New Roman"/>
          <w:kern w:val="2"/>
          <w:szCs w:val="20"/>
        </w:rPr>
        <w:t>“</w:t>
      </w:r>
      <w:r>
        <w:rPr>
          <w:rFonts w:cs="Times New Roman"/>
          <w:kern w:val="2"/>
          <w:szCs w:val="20"/>
        </w:rPr>
        <w:t>公司</w:t>
      </w:r>
      <w:r>
        <w:rPr>
          <w:rFonts w:hint="eastAsia" w:cs="Times New Roman"/>
          <w:kern w:val="2"/>
          <w:szCs w:val="20"/>
        </w:rPr>
        <w:t>”）</w:t>
      </w:r>
      <w:r>
        <w:rPr>
          <w:rFonts w:cs="Times New Roman"/>
          <w:kern w:val="2"/>
          <w:szCs w:val="20"/>
        </w:rPr>
        <w:t>对申请组织依据</w:t>
      </w:r>
      <w:r>
        <w:rPr>
          <w:rFonts w:hint="eastAsia" w:cs="Times New Roman"/>
          <w:kern w:val="2"/>
          <w:szCs w:val="20"/>
        </w:rPr>
        <w:t>GB/T 31950-2023《企业诚信管理体系 要求》</w:t>
      </w:r>
      <w:r>
        <w:rPr>
          <w:rFonts w:cs="Times New Roman"/>
          <w:kern w:val="2"/>
          <w:szCs w:val="20"/>
        </w:rPr>
        <w:t>建立的</w:t>
      </w:r>
      <w:r>
        <w:rPr>
          <w:rFonts w:hint="eastAsia" w:cs="Times New Roman"/>
          <w:kern w:val="2"/>
          <w:szCs w:val="20"/>
        </w:rPr>
        <w:t>企业诚信管理体系</w:t>
      </w:r>
      <w:r>
        <w:rPr>
          <w:rFonts w:cs="Times New Roman"/>
          <w:kern w:val="2"/>
          <w:szCs w:val="20"/>
        </w:rPr>
        <w:t>开展认证活动应遵循的基本程序要求。</w:t>
      </w:r>
    </w:p>
    <w:p w14:paraId="6414BD79">
      <w:pPr>
        <w:autoSpaceDE/>
        <w:autoSpaceDN/>
        <w:spacing w:line="312" w:lineRule="auto"/>
        <w:ind w:firstLine="420"/>
        <w:rPr>
          <w:rFonts w:hint="eastAsia" w:cs="Times New Roman"/>
          <w:kern w:val="2"/>
          <w:szCs w:val="20"/>
        </w:rPr>
      </w:pPr>
      <w:r>
        <w:rPr>
          <w:rFonts w:hint="eastAsia" w:cs="Times New Roman"/>
          <w:kern w:val="2"/>
          <w:szCs w:val="20"/>
        </w:rPr>
        <w:t>1.1 为规范企业诚信管理体系（以下简称CXMS）认证活动，根据《中华人民共和国认证认可条例》和《认证机构管理办法》等法律法规，结合相关技术标准制定本规则。</w:t>
      </w:r>
    </w:p>
    <w:p w14:paraId="0AB5C6AB">
      <w:pPr>
        <w:autoSpaceDE/>
        <w:autoSpaceDN/>
        <w:spacing w:line="312" w:lineRule="auto"/>
        <w:ind w:firstLine="420"/>
        <w:rPr>
          <w:rFonts w:hint="eastAsia" w:cs="Times New Roman"/>
          <w:kern w:val="2"/>
          <w:szCs w:val="20"/>
        </w:rPr>
      </w:pPr>
      <w:r>
        <w:rPr>
          <w:rFonts w:hint="eastAsia" w:cs="Times New Roman"/>
          <w:kern w:val="2"/>
          <w:szCs w:val="20"/>
        </w:rPr>
        <w:t>1.2 本规则规定了认证机构实施CXMS认证的程序与管理的基本要求，是认证机构从事CXMS认证活动的基本依据。</w:t>
      </w:r>
    </w:p>
    <w:p w14:paraId="7A933D53">
      <w:pPr>
        <w:autoSpaceDE/>
        <w:autoSpaceDN/>
        <w:spacing w:line="312" w:lineRule="auto"/>
        <w:ind w:firstLine="420"/>
        <w:rPr>
          <w:rFonts w:hint="eastAsia" w:cs="Times New Roman"/>
          <w:kern w:val="2"/>
          <w:szCs w:val="20"/>
        </w:rPr>
      </w:pPr>
      <w:r>
        <w:rPr>
          <w:rFonts w:hint="eastAsia" w:cs="Times New Roman"/>
          <w:kern w:val="2"/>
          <w:szCs w:val="20"/>
        </w:rPr>
        <w:t>1.3 在中华人民共和国境内从事CXMS认证活动应遵守《中华人民共和国认证认可条例》《认证机构管理办法》及本规则。</w:t>
      </w:r>
    </w:p>
    <w:p w14:paraId="7DA4839F">
      <w:pPr>
        <w:autoSpaceDE/>
        <w:autoSpaceDN/>
        <w:spacing w:line="312" w:lineRule="auto"/>
        <w:ind w:firstLine="420"/>
        <w:rPr>
          <w:rFonts w:cs="Times New Roman"/>
          <w:szCs w:val="21"/>
        </w:rPr>
      </w:pPr>
      <w:r>
        <w:rPr>
          <w:rFonts w:hint="eastAsia" w:cs="Times New Roman"/>
          <w:kern w:val="2"/>
          <w:szCs w:val="20"/>
        </w:rPr>
        <w:t>1.4 认证机构遵守本规则的规定，并不意味着可免除其所承担的法律责任。</w:t>
      </w:r>
    </w:p>
    <w:bookmarkEnd w:id="6"/>
    <w:p w14:paraId="2B5A6F50">
      <w:pPr>
        <w:pStyle w:val="2"/>
        <w:rPr>
          <w:rFonts w:ascii="宋体" w:hAnsi="宋体"/>
        </w:rPr>
      </w:pPr>
      <w:bookmarkStart w:id="8" w:name="_Toc226880926"/>
      <w:bookmarkStart w:id="9" w:name="_Toc17657"/>
      <w:bookmarkStart w:id="10" w:name="_Toc205390425"/>
      <w:bookmarkStart w:id="11" w:name="_Toc31905"/>
      <w:bookmarkStart w:id="12" w:name="_Toc7303"/>
      <w:r>
        <w:rPr>
          <w:rFonts w:hint="eastAsia" w:ascii="宋体" w:hAnsi="宋体"/>
        </w:rPr>
        <w:t>2 引用文件和认证依据</w:t>
      </w:r>
      <w:bookmarkEnd w:id="8"/>
      <w:bookmarkEnd w:id="9"/>
    </w:p>
    <w:p w14:paraId="476D0FFA">
      <w:pPr>
        <w:pStyle w:val="26"/>
        <w:ind w:firstLine="422"/>
        <w:rPr>
          <w:rFonts w:hint="eastAsia"/>
        </w:rPr>
      </w:pPr>
      <w:bookmarkStart w:id="13" w:name="_Toc226880927"/>
      <w:bookmarkStart w:id="14" w:name="_Toc31695"/>
      <w:r>
        <w:rPr>
          <w:rFonts w:hint="eastAsia"/>
        </w:rPr>
        <w:t>2.1引用文件</w:t>
      </w:r>
      <w:bookmarkEnd w:id="10"/>
      <w:bookmarkEnd w:id="13"/>
      <w:bookmarkEnd w:id="14"/>
    </w:p>
    <w:p w14:paraId="3E0AC156">
      <w:pPr>
        <w:autoSpaceDE/>
        <w:autoSpaceDN/>
        <w:spacing w:line="312" w:lineRule="auto"/>
        <w:ind w:firstLine="420"/>
        <w:rPr>
          <w:rFonts w:hint="eastAsia" w:cs="Times New Roman"/>
          <w:kern w:val="2"/>
          <w:szCs w:val="20"/>
        </w:rPr>
      </w:pPr>
      <w:bookmarkStart w:id="15" w:name="_Toc2262"/>
      <w:bookmarkStart w:id="16" w:name="_Toc205390426"/>
      <w:bookmarkStart w:id="17" w:name="_Toc205390514"/>
      <w:bookmarkStart w:id="18" w:name="_Toc200875064"/>
      <w:bookmarkStart w:id="19" w:name="_Toc200873882"/>
      <w:bookmarkStart w:id="20" w:name="_Toc200873935"/>
      <w:r>
        <w:rPr>
          <w:rFonts w:cs="Times New Roman"/>
          <w:kern w:val="2"/>
          <w:szCs w:val="20"/>
        </w:rPr>
        <w:t>CNAS-RC01-2020 《认证机构认可规则》</w:t>
      </w:r>
      <w:bookmarkEnd w:id="15"/>
      <w:bookmarkEnd w:id="16"/>
    </w:p>
    <w:p w14:paraId="3DA7E013">
      <w:pPr>
        <w:autoSpaceDE/>
        <w:autoSpaceDN/>
        <w:spacing w:line="312" w:lineRule="auto"/>
        <w:ind w:firstLine="420"/>
        <w:rPr>
          <w:rFonts w:hint="eastAsia" w:cs="Times New Roman"/>
          <w:kern w:val="2"/>
          <w:szCs w:val="20"/>
        </w:rPr>
      </w:pPr>
      <w:bookmarkStart w:id="21" w:name="_Toc205390427"/>
      <w:bookmarkStart w:id="22" w:name="_Toc26800"/>
      <w:r>
        <w:rPr>
          <w:rFonts w:cs="Times New Roman"/>
          <w:kern w:val="2"/>
          <w:szCs w:val="20"/>
        </w:rPr>
        <w:t>CNAS-CC11：2010《基于抽样的多场所认证》</w:t>
      </w:r>
      <w:bookmarkEnd w:id="21"/>
      <w:bookmarkEnd w:id="22"/>
    </w:p>
    <w:p w14:paraId="6C4C1EF4">
      <w:pPr>
        <w:autoSpaceDE/>
        <w:autoSpaceDN/>
        <w:spacing w:line="312" w:lineRule="auto"/>
        <w:ind w:firstLine="420"/>
        <w:rPr>
          <w:rFonts w:hint="eastAsia" w:cs="Times New Roman"/>
          <w:kern w:val="2"/>
          <w:szCs w:val="20"/>
        </w:rPr>
      </w:pPr>
      <w:bookmarkStart w:id="23" w:name="_Toc205390428"/>
      <w:bookmarkStart w:id="24" w:name="_Toc10976"/>
      <w:r>
        <w:rPr>
          <w:rFonts w:cs="Times New Roman"/>
          <w:kern w:val="2"/>
          <w:szCs w:val="20"/>
        </w:rPr>
        <w:t>CNAS-GC02：2010《管理体系结合审核应用指南》</w:t>
      </w:r>
      <w:bookmarkEnd w:id="23"/>
      <w:bookmarkEnd w:id="24"/>
    </w:p>
    <w:p w14:paraId="3F4C5F9E">
      <w:pPr>
        <w:autoSpaceDE/>
        <w:autoSpaceDN/>
        <w:spacing w:line="312" w:lineRule="auto"/>
        <w:ind w:firstLine="420"/>
        <w:rPr>
          <w:rFonts w:hint="eastAsia" w:cs="Times New Roman"/>
          <w:kern w:val="2"/>
          <w:szCs w:val="20"/>
        </w:rPr>
      </w:pPr>
      <w:bookmarkStart w:id="25" w:name="_Toc205390429"/>
      <w:bookmarkStart w:id="26" w:name="_Toc27465"/>
      <w:r>
        <w:rPr>
          <w:rFonts w:cs="Times New Roman"/>
          <w:kern w:val="2"/>
          <w:szCs w:val="20"/>
        </w:rPr>
        <w:t>CNAS-TRC-012:2017 《管理体系认证机构认证业务范围分类指南》</w:t>
      </w:r>
      <w:bookmarkEnd w:id="25"/>
      <w:bookmarkEnd w:id="26"/>
    </w:p>
    <w:p w14:paraId="6FFCF64E">
      <w:pPr>
        <w:autoSpaceDE/>
        <w:autoSpaceDN/>
        <w:spacing w:line="312" w:lineRule="auto"/>
        <w:ind w:firstLine="420"/>
        <w:rPr>
          <w:rFonts w:hint="eastAsia" w:cs="Times New Roman"/>
          <w:kern w:val="2"/>
          <w:szCs w:val="20"/>
        </w:rPr>
      </w:pPr>
      <w:r>
        <w:rPr>
          <w:rFonts w:hint="eastAsia" w:cs="Times New Roman"/>
          <w:kern w:val="2"/>
          <w:szCs w:val="20"/>
        </w:rPr>
        <w:t>GB/T 19001《质量管理体系 要求》</w:t>
      </w:r>
    </w:p>
    <w:bookmarkEnd w:id="17"/>
    <w:bookmarkEnd w:id="18"/>
    <w:bookmarkEnd w:id="19"/>
    <w:bookmarkEnd w:id="20"/>
    <w:p w14:paraId="5681FA3B">
      <w:pPr>
        <w:pStyle w:val="26"/>
        <w:ind w:firstLine="422"/>
        <w:rPr>
          <w:rFonts w:hint="eastAsia"/>
        </w:rPr>
      </w:pPr>
      <w:bookmarkStart w:id="27" w:name="_Toc205390430"/>
      <w:bookmarkStart w:id="28" w:name="_Toc226880928"/>
      <w:bookmarkStart w:id="29" w:name="_Toc16426"/>
      <w:r>
        <w:rPr>
          <w:rFonts w:hint="eastAsia"/>
        </w:rPr>
        <w:t>2.2 认证依据</w:t>
      </w:r>
      <w:bookmarkEnd w:id="27"/>
      <w:bookmarkEnd w:id="28"/>
      <w:bookmarkEnd w:id="29"/>
    </w:p>
    <w:p w14:paraId="536998DA">
      <w:pPr>
        <w:autoSpaceDE/>
        <w:autoSpaceDN/>
        <w:adjustRightInd w:val="0"/>
        <w:snapToGrid w:val="0"/>
        <w:ind w:firstLine="420"/>
        <w:rPr>
          <w:rFonts w:hint="eastAsia" w:cs="Times New Roman"/>
          <w:bCs/>
          <w:kern w:val="2"/>
          <w:szCs w:val="21"/>
        </w:rPr>
      </w:pPr>
      <w:r>
        <w:rPr>
          <w:rFonts w:hint="eastAsia" w:cs="Times New Roman"/>
          <w:bCs/>
          <w:kern w:val="2"/>
          <w:szCs w:val="21"/>
        </w:rPr>
        <w:t>GB/T 31950-2023《企业诚信管理体系 要求》</w:t>
      </w:r>
    </w:p>
    <w:bookmarkEnd w:id="11"/>
    <w:bookmarkEnd w:id="12"/>
    <w:p w14:paraId="1519C0DC">
      <w:pPr>
        <w:pStyle w:val="2"/>
        <w:rPr>
          <w:rFonts w:ascii="宋体" w:hAnsi="宋体"/>
        </w:rPr>
      </w:pPr>
      <w:bookmarkStart w:id="30" w:name="_Toc226880929"/>
      <w:bookmarkStart w:id="31" w:name="_Toc20404"/>
      <w:bookmarkStart w:id="32" w:name="_Toc200873884"/>
      <w:r>
        <w:rPr>
          <w:rFonts w:hint="eastAsia" w:ascii="宋体" w:hAnsi="宋体"/>
        </w:rPr>
        <w:t>3 基本要求</w:t>
      </w:r>
      <w:bookmarkEnd w:id="30"/>
      <w:bookmarkEnd w:id="31"/>
    </w:p>
    <w:bookmarkEnd w:id="32"/>
    <w:p w14:paraId="18086D59">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.1 获得国家认证认可监督管理委员会（ 以下简称国家认监委）批准、取得QMS认证领域资质。</w:t>
      </w:r>
    </w:p>
    <w:p w14:paraId="1657B65E">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 xml:space="preserve">.2 开展 CXMS认证活动，应当围绕国家经济和社会发展目标，重点服务于经济社会高质量发展，不得影响国家安全和社会公共利益，不得违背社会公序良俗。 </w:t>
      </w:r>
    </w:p>
    <w:p w14:paraId="3DFBEF1E">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.3 内 部 管 理 和 认 证 活 动 符 合 GB/T 27021.1/ISO/IEC 17021-1《合格评定 管理体系审核认证机构要求 第 1 部分：要求》和 GB/T 27021.3/ISO/IEC 17021-3《合格评定 管理体系审核认证机构要求 第 3 部分：质量管理体系审核与认证能力要求》，确保持续满足开展 QMS &amp; CXMS认证的基本要求。</w:t>
      </w:r>
    </w:p>
    <w:p w14:paraId="051129DE">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.4 建立风险防范机制，对从事CXMS认证活动可能引发的风险和责任采取合理有效措施。认证机构应能证明其已对CXMS认证活动引发的风险进行了评估，对引发的责任做出了充分安排（如保险或储备金）。</w:t>
      </w:r>
    </w:p>
    <w:p w14:paraId="7E7FE690">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.5 建立认证人员管理制度，明确认证人员的能力准则、选择条件、聘用和评价程序， 以及能力提升机制。确保从事 QMS &amp; CXMS认证的人员持续具备相应职业素养和能力。</w:t>
      </w:r>
    </w:p>
    <w:p w14:paraId="0BBD1601">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.6 在拟开展的CXMS认证业务范围（认证业务范围分类见附录 A 表 A.1），具备 2 名（含） 以上CXMS专业领域审核员。认证机构应结合认证业务范围识别相关专业的学历和专业质量技术工作经历。相应认证业务范围的专业领域审核员，应满足质量管理体系认证规则“3.6”内容的要求。</w:t>
      </w:r>
    </w:p>
    <w:p w14:paraId="7001E938">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7 应对其认证活动的公正性负责，不允许商业、财务或其他压力损害公正性。如：不得将申请认证的组织（ 以下简称 “认证委托人” ）是否获得认证与参与认证审核的审核员及其他人员的薪酬挂钩。</w:t>
      </w:r>
    </w:p>
    <w:p w14:paraId="145D06C7">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.8 对认证活动中所知悉的国家秘密、商业秘密负有保密义务。应通过在法律上具有强制实施力的协议，确保认证活动中所获得的信息在未经认证委托人书面同意的情况下，不向第三方透漏，认证行政监管有要求的除外。</w:t>
      </w:r>
    </w:p>
    <w:p w14:paraId="4FD9B677">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.9 应对CXMS认证活动的真实性、有效性负责，加强认证人员的管理及素质、能力提升，合理安排审核员的工作量。每个审核员参加包括 CXMS在内的管理体系现场审核时间的总和不应超过180 天/周期年。</w:t>
      </w:r>
    </w:p>
    <w:p w14:paraId="6E39D994">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.10 认证机构拥有的 CXMS有效认证证书的数量应与该机构QMS（CXMS）审核员数量相匹配，人均每个审核员匹配的包括CXMS在内的管理体系有效认证证书总数不应超过 50 张/周期年。</w:t>
      </w:r>
    </w:p>
    <w:p w14:paraId="3C5D079D">
      <w:pPr>
        <w:autoSpaceDE/>
        <w:autoSpaceDN/>
        <w:spacing w:line="312" w:lineRule="auto"/>
        <w:ind w:firstLine="420"/>
        <w:rPr>
          <w:rFonts w:hint="eastAsia" w:cs="Times New Roman"/>
          <w:kern w:val="2"/>
          <w:szCs w:val="20"/>
        </w:rPr>
      </w:pPr>
      <w:r>
        <w:rPr>
          <w:rFonts w:hint="eastAsia" w:cs="Times New Roman"/>
          <w:bCs/>
          <w:kern w:val="2"/>
          <w:szCs w:val="20"/>
        </w:rPr>
        <w:t>3</w:t>
      </w:r>
      <w:r>
        <w:rPr>
          <w:rFonts w:hint="eastAsia" w:cs="Times New Roman"/>
          <w:kern w:val="2"/>
          <w:szCs w:val="20"/>
        </w:rPr>
        <w:t>.11 不得委派未取得QMS（CXMS）注册资格的审核员开展CXMS 认证审核活动。</w:t>
      </w:r>
    </w:p>
    <w:p w14:paraId="57F9EDD2">
      <w:pPr>
        <w:autoSpaceDE/>
        <w:autoSpaceDN/>
        <w:spacing w:line="312" w:lineRule="auto"/>
        <w:ind w:firstLine="420"/>
        <w:rPr>
          <w:rFonts w:hint="eastAsia" w:cs="Times New Roman"/>
          <w:b/>
          <w:kern w:val="2"/>
          <w:szCs w:val="20"/>
        </w:rPr>
      </w:pPr>
      <w:r>
        <w:rPr>
          <w:rFonts w:hint="eastAsia" w:cs="Times New Roman"/>
          <w:bCs/>
          <w:kern w:val="2"/>
          <w:szCs w:val="20"/>
        </w:rPr>
        <w:t>3</w:t>
      </w:r>
      <w:r>
        <w:rPr>
          <w:rFonts w:hint="eastAsia" w:cs="Times New Roman"/>
          <w:kern w:val="2"/>
          <w:szCs w:val="20"/>
        </w:rPr>
        <w:t>.12 不得以 “认证证书在国家认监委网站可查”或近似表述进行广告宣传。</w:t>
      </w:r>
    </w:p>
    <w:p w14:paraId="2A257EB0">
      <w:pPr>
        <w:pStyle w:val="2"/>
        <w:rPr>
          <w:rFonts w:ascii="宋体" w:hAnsi="宋体"/>
        </w:rPr>
      </w:pPr>
      <w:bookmarkStart w:id="33" w:name="_Toc1459"/>
      <w:bookmarkStart w:id="34" w:name="_Toc226880930"/>
      <w:r>
        <w:rPr>
          <w:rFonts w:hint="eastAsia" w:ascii="宋体" w:hAnsi="宋体"/>
        </w:rPr>
        <w:t xml:space="preserve">4 </w:t>
      </w:r>
      <w:r>
        <w:rPr>
          <w:rFonts w:ascii="宋体" w:hAnsi="宋体"/>
        </w:rPr>
        <w:t>认证人员</w:t>
      </w:r>
      <w:bookmarkEnd w:id="33"/>
      <w:bookmarkEnd w:id="34"/>
    </w:p>
    <w:p w14:paraId="7B79E0E7">
      <w:pPr>
        <w:autoSpaceDE/>
        <w:autoSpaceDN/>
        <w:spacing w:line="312" w:lineRule="auto"/>
        <w:ind w:firstLine="420"/>
        <w:rPr>
          <w:rFonts w:hint="eastAsia" w:cs="Times New Roman"/>
          <w:b/>
          <w:kern w:val="2"/>
          <w:szCs w:val="20"/>
        </w:rPr>
      </w:pPr>
      <w:bookmarkStart w:id="35" w:name="_Toc205390433"/>
      <w:r>
        <w:rPr>
          <w:rFonts w:hint="eastAsia" w:cs="Times New Roman"/>
          <w:kern w:val="2"/>
          <w:szCs w:val="20"/>
        </w:rPr>
        <w:t>4.1 遵守认证认可相关法律法规、部门规章及规范性文件的要求，具有从事认证工作的基本职业操守，对认证活动及其结果的真实性和有效性承担相应责任。</w:t>
      </w:r>
    </w:p>
    <w:p w14:paraId="0DB5FC40">
      <w:pPr>
        <w:autoSpaceDE/>
        <w:autoSpaceDN/>
        <w:spacing w:line="312" w:lineRule="auto"/>
        <w:ind w:firstLine="420"/>
        <w:rPr>
          <w:rFonts w:hint="eastAsia" w:cs="Times New Roman"/>
          <w:kern w:val="2"/>
          <w:szCs w:val="20"/>
        </w:rPr>
      </w:pPr>
      <w:r>
        <w:rPr>
          <w:rFonts w:hint="eastAsia" w:cs="Times New Roman"/>
          <w:kern w:val="2"/>
          <w:szCs w:val="20"/>
        </w:rPr>
        <w:t>4.2 审核员应取得国家认监委确定的认证人员注册机构批准的 QMS（CXMS）审核员注册资格。</w:t>
      </w:r>
    </w:p>
    <w:p w14:paraId="199AE052">
      <w:pPr>
        <w:autoSpaceDE/>
        <w:autoSpaceDN/>
        <w:spacing w:line="312" w:lineRule="auto"/>
        <w:ind w:firstLine="420"/>
        <w:rPr>
          <w:rFonts w:hint="eastAsia" w:cs="Times New Roman"/>
          <w:kern w:val="2"/>
          <w:szCs w:val="20"/>
        </w:rPr>
      </w:pPr>
      <w:r>
        <w:rPr>
          <w:rFonts w:hint="eastAsia" w:cs="Times New Roman"/>
          <w:kern w:val="2"/>
          <w:szCs w:val="20"/>
        </w:rPr>
        <w:t>4.3 审核员不得接受超出其注册资格的认证审核任务。</w:t>
      </w:r>
    </w:p>
    <w:p w14:paraId="659C5EB0">
      <w:pPr>
        <w:autoSpaceDE/>
        <w:autoSpaceDN/>
        <w:spacing w:line="312" w:lineRule="auto"/>
        <w:ind w:firstLine="420"/>
        <w:rPr>
          <w:rFonts w:hint="eastAsia" w:cs="Times New Roman"/>
          <w:kern w:val="2"/>
          <w:szCs w:val="20"/>
        </w:rPr>
      </w:pPr>
      <w:r>
        <w:rPr>
          <w:rFonts w:hint="eastAsia" w:cs="Times New Roman"/>
          <w:kern w:val="2"/>
          <w:szCs w:val="20"/>
        </w:rPr>
        <w:t>4.4 不得发生影响认证公正性的行为，应主动告知认证机构其所了解的任何可能使本人或认证机构陷入利益冲突的情况。 因认证人员未履行告知义务而导致非公正性认证结果的，认证人员应当负有连带责任（如承担因此造成的经济损失）。</w:t>
      </w:r>
    </w:p>
    <w:p w14:paraId="3AE968EB">
      <w:pPr>
        <w:autoSpaceDE/>
        <w:autoSpaceDN/>
        <w:spacing w:line="312" w:lineRule="auto"/>
        <w:ind w:firstLine="420"/>
        <w:rPr>
          <w:rFonts w:cs="Times New Roman"/>
          <w:szCs w:val="21"/>
        </w:rPr>
      </w:pPr>
      <w:r>
        <w:rPr>
          <w:rFonts w:hint="eastAsia" w:cs="Times New Roman"/>
          <w:kern w:val="2"/>
          <w:szCs w:val="20"/>
        </w:rPr>
        <w:t>4.5 按要求接受人员注册/保持注册所要求的继续教育培训，以及认证机构要求的能力（包括知识和技能）提升活动， 以持续具备从事CXMS认证工作相适宜的能力</w:t>
      </w:r>
      <w:bookmarkEnd w:id="35"/>
      <w:r>
        <w:rPr>
          <w:rFonts w:cs="Times New Roman"/>
          <w:szCs w:val="21"/>
        </w:rPr>
        <w:t>。</w:t>
      </w:r>
    </w:p>
    <w:p w14:paraId="276AD730">
      <w:pPr>
        <w:pStyle w:val="2"/>
        <w:rPr>
          <w:rFonts w:ascii="宋体" w:hAnsi="宋体"/>
        </w:rPr>
      </w:pPr>
      <w:bookmarkStart w:id="36" w:name="_Toc226880931"/>
      <w:bookmarkStart w:id="37" w:name="_Toc1680"/>
      <w:bookmarkStart w:id="38" w:name="_Toc200873892"/>
      <w:bookmarkStart w:id="39" w:name="_Toc12534"/>
      <w:r>
        <w:rPr>
          <w:rFonts w:hint="eastAsia" w:ascii="宋体" w:hAnsi="宋体"/>
        </w:rPr>
        <w:t>5 认证程序</w:t>
      </w:r>
      <w:bookmarkEnd w:id="36"/>
      <w:bookmarkEnd w:id="37"/>
    </w:p>
    <w:p w14:paraId="48CE21C8">
      <w:pPr>
        <w:pStyle w:val="26"/>
        <w:ind w:firstLine="422"/>
        <w:rPr>
          <w:rFonts w:hint="eastAsia"/>
        </w:rPr>
      </w:pPr>
      <w:bookmarkStart w:id="40" w:name="_Toc26968"/>
      <w:bookmarkStart w:id="41" w:name="_Toc226880932"/>
      <w:r>
        <w:rPr>
          <w:rFonts w:hint="eastAsia"/>
        </w:rPr>
        <w:t>5.1  认证申请</w:t>
      </w:r>
      <w:bookmarkEnd w:id="40"/>
      <w:bookmarkEnd w:id="41"/>
    </w:p>
    <w:p w14:paraId="26F2CB3A">
      <w:pPr>
        <w:autoSpaceDE/>
        <w:autoSpaceDN/>
        <w:spacing w:line="312" w:lineRule="auto"/>
        <w:ind w:firstLine="420"/>
        <w:rPr>
          <w:rFonts w:hint="eastAsia" w:cs="Times New Roman"/>
          <w:kern w:val="2"/>
          <w:szCs w:val="20"/>
        </w:rPr>
      </w:pPr>
      <w:r>
        <w:rPr>
          <w:rFonts w:hint="eastAsia" w:cs="Times New Roman"/>
          <w:kern w:val="2"/>
          <w:szCs w:val="20"/>
        </w:rPr>
        <w:t>5.1.1 认证机构应向认证委托人至少公开以下信息：</w:t>
      </w:r>
    </w:p>
    <w:p w14:paraId="4B6B342E">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可开展的认证业务范围，获得认可的情况， 以及分包境外认证机构业务的情况；</w:t>
      </w:r>
    </w:p>
    <w:p w14:paraId="6ABDA6D2">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开展 CXMS 认证活动所依据的认证标准以及相关的认证方案、认证流程；</w:t>
      </w:r>
    </w:p>
    <w:p w14:paraId="08B5A587">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授予、拒绝、保持、更新、暂停（恢复）、注销、撤销认证证书以及扩大或缩小认证范围的程序规定；</w:t>
      </w:r>
    </w:p>
    <w:p w14:paraId="3B9BDA59">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拟向认证委托人获取的信息以及保密规定；</w:t>
      </w:r>
    </w:p>
    <w:p w14:paraId="65146BE9">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认证收费标准；</w:t>
      </w:r>
    </w:p>
    <w:p w14:paraId="5B7CB2D8">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认证证书、认证标志及相关的使用规定；</w:t>
      </w:r>
    </w:p>
    <w:p w14:paraId="59E5E335">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对认证过程和结果的申诉、投诉规定；</w:t>
      </w:r>
    </w:p>
    <w:p w14:paraId="634A40D1">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认证标准换版的规定（适用时）；</w:t>
      </w:r>
    </w:p>
    <w:p w14:paraId="32A58697">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“提前较短时间通知的审核” 的情形；</w:t>
      </w:r>
    </w:p>
    <w:p w14:paraId="13292194">
      <w:pPr>
        <w:numPr>
          <w:ilvl w:val="0"/>
          <w:numId w:val="2"/>
        </w:numPr>
        <w:autoSpaceDE/>
        <w:autoSpaceDN/>
        <w:spacing w:line="312" w:lineRule="auto"/>
        <w:ind w:firstLineChars="0"/>
        <w:rPr>
          <w:rFonts w:hint="eastAsia" w:cs="Times New Roman"/>
          <w:kern w:val="2"/>
          <w:szCs w:val="20"/>
        </w:rPr>
      </w:pPr>
      <w:r>
        <w:rPr>
          <w:rFonts w:hint="eastAsia" w:cs="Times New Roman"/>
          <w:kern w:val="2"/>
          <w:szCs w:val="20"/>
        </w:rPr>
        <w:t>其他需要公开的信息。</w:t>
      </w:r>
    </w:p>
    <w:p w14:paraId="2BF9F2A0">
      <w:pPr>
        <w:autoSpaceDE/>
        <w:autoSpaceDN/>
        <w:spacing w:line="312" w:lineRule="auto"/>
        <w:ind w:firstLine="420"/>
        <w:rPr>
          <w:rFonts w:hint="eastAsia" w:cs="Times New Roman"/>
          <w:kern w:val="2"/>
          <w:szCs w:val="20"/>
        </w:rPr>
      </w:pPr>
      <w:r>
        <w:rPr>
          <w:rFonts w:hint="eastAsia" w:cs="Times New Roman"/>
          <w:kern w:val="2"/>
          <w:szCs w:val="20"/>
        </w:rPr>
        <w:t>5.1.2 提出认证申请时，认证委托人应具备以下条件：</w:t>
      </w:r>
    </w:p>
    <w:p w14:paraId="2EDD9F05">
      <w:pPr>
        <w:autoSpaceDE/>
        <w:autoSpaceDN/>
        <w:spacing w:line="312" w:lineRule="auto"/>
        <w:ind w:firstLine="420"/>
        <w:rPr>
          <w:rFonts w:hint="eastAsia" w:cs="Times New Roman"/>
          <w:kern w:val="2"/>
          <w:szCs w:val="20"/>
        </w:rPr>
      </w:pPr>
      <w:r>
        <w:rPr>
          <w:rFonts w:hint="eastAsia" w:cs="Times New Roman"/>
          <w:kern w:val="2"/>
          <w:szCs w:val="20"/>
        </w:rPr>
        <w:t>（1）取得合法主体资格，并处于有效期内；</w:t>
      </w:r>
    </w:p>
    <w:p w14:paraId="072A53D1">
      <w:pPr>
        <w:autoSpaceDE/>
        <w:autoSpaceDN/>
        <w:spacing w:line="312" w:lineRule="auto"/>
        <w:ind w:firstLine="420"/>
        <w:rPr>
          <w:rFonts w:hint="eastAsia" w:cs="Times New Roman"/>
          <w:kern w:val="2"/>
          <w:szCs w:val="20"/>
        </w:rPr>
      </w:pPr>
      <w:r>
        <w:rPr>
          <w:rFonts w:hint="eastAsia" w:cs="Times New Roman"/>
          <w:kern w:val="2"/>
          <w:szCs w:val="20"/>
        </w:rPr>
        <w:t>（2）取得相关法律法规规定的行政许可（适用时），并处于有效期内；</w:t>
      </w:r>
    </w:p>
    <w:p w14:paraId="7DDE39F6">
      <w:pPr>
        <w:autoSpaceDE/>
        <w:autoSpaceDN/>
        <w:spacing w:line="312" w:lineRule="auto"/>
        <w:ind w:firstLine="420"/>
        <w:rPr>
          <w:rFonts w:hint="eastAsia" w:cs="Times New Roman"/>
          <w:kern w:val="2"/>
          <w:szCs w:val="20"/>
        </w:rPr>
      </w:pPr>
      <w:r>
        <w:rPr>
          <w:rFonts w:hint="eastAsia" w:cs="Times New Roman"/>
          <w:kern w:val="2"/>
          <w:szCs w:val="20"/>
        </w:rPr>
        <w:t>（3）已按认证标准建立CXMS，且运行满三个月；</w:t>
      </w:r>
    </w:p>
    <w:p w14:paraId="516285AE">
      <w:pPr>
        <w:autoSpaceDE/>
        <w:autoSpaceDN/>
        <w:spacing w:line="312" w:lineRule="auto"/>
        <w:ind w:firstLine="420"/>
        <w:rPr>
          <w:rFonts w:hint="eastAsia" w:cs="Times New Roman"/>
          <w:kern w:val="2"/>
          <w:szCs w:val="20"/>
        </w:rPr>
      </w:pPr>
      <w:r>
        <w:rPr>
          <w:rFonts w:hint="eastAsia" w:cs="Times New Roman"/>
          <w:kern w:val="2"/>
          <w:szCs w:val="20"/>
        </w:rPr>
        <w:t>（4）因获证组织自身原因被原发证机构暂停或撤销认证证书已满一年（适用时）；</w:t>
      </w:r>
    </w:p>
    <w:p w14:paraId="4BAF5308">
      <w:pPr>
        <w:autoSpaceDE/>
        <w:autoSpaceDN/>
        <w:spacing w:line="312" w:lineRule="auto"/>
        <w:ind w:firstLine="420"/>
        <w:rPr>
          <w:rFonts w:hint="eastAsia" w:cs="Times New Roman"/>
          <w:kern w:val="2"/>
          <w:szCs w:val="20"/>
        </w:rPr>
      </w:pPr>
      <w:r>
        <w:rPr>
          <w:rFonts w:hint="eastAsia" w:cs="Times New Roman"/>
          <w:kern w:val="2"/>
          <w:szCs w:val="20"/>
        </w:rPr>
        <w:t>（5）原CXMS认证证书发证机构被国家认监委撤销认证资质已满三个月（适用时）；</w:t>
      </w:r>
    </w:p>
    <w:p w14:paraId="2011262F">
      <w:pPr>
        <w:autoSpaceDE/>
        <w:autoSpaceDN/>
        <w:spacing w:line="312" w:lineRule="auto"/>
        <w:ind w:firstLine="420"/>
        <w:rPr>
          <w:rFonts w:hint="eastAsia" w:cs="Times New Roman"/>
          <w:kern w:val="2"/>
          <w:szCs w:val="20"/>
        </w:rPr>
      </w:pPr>
      <w:r>
        <w:rPr>
          <w:rFonts w:hint="eastAsia" w:cs="Times New Roman"/>
          <w:kern w:val="2"/>
          <w:szCs w:val="20"/>
        </w:rPr>
        <w:t>（6）当前未被行政监管部门责令停产停业整顿；</w:t>
      </w:r>
    </w:p>
    <w:p w14:paraId="4CF2AF77">
      <w:pPr>
        <w:autoSpaceDE/>
        <w:autoSpaceDN/>
        <w:spacing w:line="312" w:lineRule="auto"/>
        <w:ind w:firstLine="420"/>
        <w:rPr>
          <w:rFonts w:hint="eastAsia" w:cs="Times New Roman"/>
          <w:kern w:val="2"/>
          <w:szCs w:val="20"/>
        </w:rPr>
      </w:pPr>
      <w:r>
        <w:rPr>
          <w:rFonts w:hint="eastAsia" w:cs="Times New Roman"/>
          <w:kern w:val="2"/>
          <w:szCs w:val="20"/>
        </w:rPr>
        <w:t>（7）当前未列入 “ 国家企业信用信息公示系统”和 “信用中国”发布的严重违法失信名单；</w:t>
      </w:r>
    </w:p>
    <w:p w14:paraId="154252A2">
      <w:pPr>
        <w:autoSpaceDE/>
        <w:autoSpaceDN/>
        <w:spacing w:line="312" w:lineRule="auto"/>
        <w:ind w:firstLine="420"/>
        <w:rPr>
          <w:rFonts w:hint="eastAsia" w:cs="Times New Roman"/>
          <w:kern w:val="2"/>
          <w:szCs w:val="20"/>
        </w:rPr>
      </w:pPr>
      <w:r>
        <w:rPr>
          <w:rFonts w:hint="eastAsia" w:cs="Times New Roman"/>
          <w:kern w:val="2"/>
          <w:szCs w:val="20"/>
        </w:rPr>
        <w:t>（8）一年内未发生被行政监管部门责令停产停业整顿的重大质量事故；</w:t>
      </w:r>
    </w:p>
    <w:p w14:paraId="2C68C1A2">
      <w:pPr>
        <w:autoSpaceDE/>
        <w:autoSpaceDN/>
        <w:spacing w:line="312" w:lineRule="auto"/>
        <w:ind w:firstLine="420"/>
        <w:rPr>
          <w:rFonts w:hint="eastAsia" w:cs="Times New Roman"/>
          <w:kern w:val="2"/>
          <w:szCs w:val="20"/>
        </w:rPr>
      </w:pPr>
      <w:r>
        <w:rPr>
          <w:rFonts w:hint="eastAsia" w:cs="Times New Roman"/>
          <w:kern w:val="2"/>
          <w:szCs w:val="20"/>
        </w:rPr>
        <w:t>（9）一年内申请认证范围内的产品未发生产品质量国家监督抽查不合格，或发生产品质量国家监督抽查不合格但已按相关规定整改合格；</w:t>
      </w:r>
    </w:p>
    <w:p w14:paraId="49D920D8">
      <w:pPr>
        <w:autoSpaceDE/>
        <w:autoSpaceDN/>
        <w:spacing w:line="312" w:lineRule="auto"/>
        <w:ind w:firstLine="420"/>
        <w:rPr>
          <w:rFonts w:hint="eastAsia" w:cs="Times New Roman"/>
          <w:kern w:val="2"/>
          <w:szCs w:val="20"/>
        </w:rPr>
      </w:pPr>
      <w:r>
        <w:rPr>
          <w:rFonts w:hint="eastAsia" w:cs="Times New Roman"/>
          <w:kern w:val="2"/>
          <w:szCs w:val="20"/>
        </w:rPr>
        <w:t>（10）其他应具备的条件。</w:t>
      </w:r>
    </w:p>
    <w:p w14:paraId="29CDD2C4">
      <w:pPr>
        <w:autoSpaceDE/>
        <w:autoSpaceDN/>
        <w:spacing w:line="312" w:lineRule="auto"/>
        <w:ind w:firstLine="420"/>
        <w:rPr>
          <w:rFonts w:hint="eastAsia" w:cs="Times New Roman"/>
          <w:kern w:val="2"/>
          <w:szCs w:val="20"/>
        </w:rPr>
      </w:pPr>
      <w:r>
        <w:rPr>
          <w:rFonts w:hint="eastAsia" w:cs="Times New Roman"/>
          <w:kern w:val="2"/>
          <w:szCs w:val="20"/>
        </w:rPr>
        <w:t>5.1.3 认证机构应要求认证委托人提供以下信息和文件资料：</w:t>
      </w:r>
    </w:p>
    <w:p w14:paraId="581B69F1">
      <w:pPr>
        <w:autoSpaceDE/>
        <w:autoSpaceDN/>
        <w:spacing w:line="312" w:lineRule="auto"/>
        <w:ind w:firstLine="420"/>
        <w:rPr>
          <w:rFonts w:hint="eastAsia" w:cs="Times New Roman"/>
          <w:kern w:val="2"/>
          <w:szCs w:val="20"/>
        </w:rPr>
      </w:pPr>
      <w:r>
        <w:rPr>
          <w:rFonts w:hint="eastAsia" w:cs="Times New Roman"/>
          <w:kern w:val="2"/>
          <w:szCs w:val="20"/>
        </w:rPr>
        <w:t>（1）认证申请，包括认证委托人的名称、地址、认证依据的标准、 申请的认证范围、认证范围内人员数量及影响体系有效性的外包过程；</w:t>
      </w:r>
    </w:p>
    <w:p w14:paraId="2EBC19FE">
      <w:pPr>
        <w:autoSpaceDE/>
        <w:autoSpaceDN/>
        <w:spacing w:line="312" w:lineRule="auto"/>
        <w:ind w:firstLine="420"/>
        <w:rPr>
          <w:rFonts w:hint="eastAsia" w:cs="Times New Roman"/>
          <w:kern w:val="2"/>
          <w:szCs w:val="20"/>
        </w:rPr>
      </w:pPr>
      <w:r>
        <w:rPr>
          <w:rFonts w:hint="eastAsia" w:cs="Times New Roman"/>
          <w:kern w:val="2"/>
          <w:szCs w:val="20"/>
        </w:rPr>
        <w:t>（2）法律地位的证明文件， 当CXMS覆盖多个法律实体时，应提供每个法律实体的法律地位证明文件；</w:t>
      </w:r>
    </w:p>
    <w:p w14:paraId="013DFE24">
      <w:pPr>
        <w:autoSpaceDE/>
        <w:autoSpaceDN/>
        <w:spacing w:line="312" w:lineRule="auto"/>
        <w:ind w:firstLine="420"/>
        <w:rPr>
          <w:rFonts w:hint="eastAsia" w:cs="Times New Roman"/>
          <w:kern w:val="2"/>
          <w:szCs w:val="20"/>
        </w:rPr>
      </w:pPr>
      <w:r>
        <w:rPr>
          <w:rFonts w:hint="eastAsia" w:cs="Times New Roman"/>
          <w:kern w:val="2"/>
          <w:szCs w:val="20"/>
        </w:rPr>
        <w:t>（3）申请认证范围所涉及的质量法律法规要求的行政许可文件、资质证书、强制性产品认证证书等；</w:t>
      </w:r>
    </w:p>
    <w:p w14:paraId="424B6EE3">
      <w:pPr>
        <w:autoSpaceDE/>
        <w:autoSpaceDN/>
        <w:spacing w:line="312" w:lineRule="auto"/>
        <w:ind w:firstLine="420"/>
        <w:rPr>
          <w:rFonts w:hint="eastAsia" w:cs="Times New Roman"/>
          <w:kern w:val="2"/>
          <w:szCs w:val="20"/>
        </w:rPr>
      </w:pPr>
      <w:r>
        <w:rPr>
          <w:rFonts w:hint="eastAsia" w:cs="Times New Roman"/>
          <w:kern w:val="2"/>
          <w:szCs w:val="20"/>
        </w:rPr>
        <w:t>（4）组织机构及职责；</w:t>
      </w:r>
    </w:p>
    <w:p w14:paraId="62E9E310">
      <w:pPr>
        <w:autoSpaceDE/>
        <w:autoSpaceDN/>
        <w:spacing w:line="312" w:lineRule="auto"/>
        <w:ind w:firstLine="420"/>
        <w:rPr>
          <w:rFonts w:hint="eastAsia" w:cs="Times New Roman"/>
          <w:kern w:val="2"/>
          <w:szCs w:val="20"/>
        </w:rPr>
      </w:pPr>
      <w:r>
        <w:rPr>
          <w:rFonts w:hint="eastAsia" w:cs="Times New Roman"/>
          <w:kern w:val="2"/>
          <w:szCs w:val="20"/>
        </w:rPr>
        <w:t>（5）生产/服务的流程、班次及轮班情况和季节性信息；</w:t>
      </w:r>
    </w:p>
    <w:p w14:paraId="41B8D7FF">
      <w:pPr>
        <w:autoSpaceDE/>
        <w:autoSpaceDN/>
        <w:spacing w:line="312" w:lineRule="auto"/>
        <w:ind w:firstLine="420"/>
        <w:rPr>
          <w:rFonts w:hint="eastAsia" w:cs="Times New Roman"/>
          <w:kern w:val="2"/>
          <w:szCs w:val="20"/>
        </w:rPr>
      </w:pPr>
      <w:r>
        <w:rPr>
          <w:rFonts w:hint="eastAsia" w:cs="Times New Roman"/>
          <w:kern w:val="2"/>
          <w:szCs w:val="20"/>
        </w:rPr>
        <w:t>（6）CXMS运行满三个月的证据；</w:t>
      </w:r>
    </w:p>
    <w:p w14:paraId="6B431CCA">
      <w:pPr>
        <w:autoSpaceDE/>
        <w:autoSpaceDN/>
        <w:spacing w:line="312" w:lineRule="auto"/>
        <w:ind w:firstLine="420"/>
        <w:rPr>
          <w:rFonts w:hint="eastAsia" w:cs="Times New Roman"/>
          <w:kern w:val="2"/>
          <w:szCs w:val="20"/>
        </w:rPr>
      </w:pPr>
      <w:r>
        <w:rPr>
          <w:rFonts w:hint="eastAsia" w:cs="Times New Roman"/>
          <w:kern w:val="2"/>
          <w:szCs w:val="20"/>
        </w:rPr>
        <w:t>（7）一年内所发生的质量事故、与质量相关的行政处罚、产品质量国家监督抽查不合格、其他质量抽查不合格的情况以及整改情况（适用时）；</w:t>
      </w:r>
    </w:p>
    <w:p w14:paraId="08B45258">
      <w:pPr>
        <w:autoSpaceDE/>
        <w:autoSpaceDN/>
        <w:spacing w:line="312" w:lineRule="auto"/>
        <w:ind w:firstLine="420"/>
        <w:rPr>
          <w:rFonts w:hint="eastAsia" w:cs="Times New Roman"/>
          <w:kern w:val="2"/>
          <w:szCs w:val="20"/>
        </w:rPr>
      </w:pPr>
      <w:r>
        <w:rPr>
          <w:rFonts w:hint="eastAsia" w:cs="Times New Roman"/>
          <w:kern w:val="2"/>
          <w:szCs w:val="20"/>
        </w:rPr>
        <w:t>（8）其他需要提供的文件。</w:t>
      </w:r>
    </w:p>
    <w:bookmarkEnd w:id="38"/>
    <w:bookmarkEnd w:id="39"/>
    <w:p w14:paraId="08C7AF3F">
      <w:pPr>
        <w:pStyle w:val="26"/>
        <w:ind w:firstLine="422"/>
        <w:rPr>
          <w:rFonts w:hint="eastAsia"/>
        </w:rPr>
      </w:pPr>
      <w:bookmarkStart w:id="42" w:name="_Toc226880933"/>
      <w:bookmarkStart w:id="43" w:name="_Toc26386"/>
      <w:bookmarkStart w:id="44" w:name="_Toc26456"/>
      <w:bookmarkStart w:id="45" w:name="_Toc25077"/>
      <w:bookmarkStart w:id="46" w:name="_Toc200873894"/>
      <w:bookmarkStart w:id="47" w:name="_Toc27368"/>
      <w:r>
        <w:rPr>
          <w:rFonts w:hint="eastAsia"/>
        </w:rPr>
        <w:t>5.2  申请评审</w:t>
      </w:r>
      <w:bookmarkEnd w:id="42"/>
      <w:bookmarkEnd w:id="43"/>
    </w:p>
    <w:p w14:paraId="6F9ABCFB">
      <w:pPr>
        <w:autoSpaceDE/>
        <w:autoSpaceDN/>
        <w:spacing w:line="312" w:lineRule="auto"/>
        <w:ind w:firstLine="420"/>
        <w:rPr>
          <w:rFonts w:hint="eastAsia" w:cs="Times New Roman"/>
          <w:kern w:val="2"/>
          <w:szCs w:val="20"/>
        </w:rPr>
      </w:pPr>
      <w:r>
        <w:rPr>
          <w:rFonts w:hint="eastAsia" w:cs="Times New Roman"/>
          <w:kern w:val="2"/>
          <w:szCs w:val="20"/>
        </w:rPr>
        <w:t>5.2.1 认证机构应建立并实施相应程序，对认证委托人提交的申请信息和文件资料实施申请评审，仔细鉴别申请信息和文件资料的真伪，确定是否受理认证申请，并保存相应评审记录。</w:t>
      </w:r>
    </w:p>
    <w:p w14:paraId="1E50D2C3">
      <w:pPr>
        <w:autoSpaceDE/>
        <w:autoSpaceDN/>
        <w:spacing w:line="312" w:lineRule="auto"/>
        <w:ind w:firstLine="420"/>
        <w:rPr>
          <w:rFonts w:hint="eastAsia" w:cs="Times New Roman"/>
          <w:kern w:val="2"/>
          <w:szCs w:val="20"/>
        </w:rPr>
      </w:pPr>
      <w:r>
        <w:rPr>
          <w:rFonts w:hint="eastAsia" w:cs="Times New Roman"/>
          <w:kern w:val="2"/>
          <w:szCs w:val="20"/>
        </w:rPr>
        <w:t>5.2.2 满足以下条件的，认证机构可以受理认证申请：</w:t>
      </w:r>
    </w:p>
    <w:p w14:paraId="1DB233C5">
      <w:pPr>
        <w:autoSpaceDE/>
        <w:autoSpaceDN/>
        <w:spacing w:line="312" w:lineRule="auto"/>
        <w:ind w:firstLine="420"/>
        <w:rPr>
          <w:rFonts w:hint="eastAsia" w:cs="Times New Roman"/>
          <w:kern w:val="2"/>
          <w:szCs w:val="20"/>
        </w:rPr>
      </w:pPr>
      <w:r>
        <w:rPr>
          <w:rFonts w:hint="eastAsia" w:cs="Times New Roman"/>
          <w:kern w:val="2"/>
          <w:szCs w:val="20"/>
        </w:rPr>
        <w:t>（1）认证委托人已具备受理条件（见 5.1.2）；</w:t>
      </w:r>
    </w:p>
    <w:p w14:paraId="5878D77E">
      <w:pPr>
        <w:autoSpaceDE/>
        <w:autoSpaceDN/>
        <w:spacing w:line="312" w:lineRule="auto"/>
        <w:ind w:firstLine="420"/>
        <w:rPr>
          <w:rFonts w:hint="eastAsia" w:cs="Times New Roman"/>
          <w:kern w:val="2"/>
          <w:szCs w:val="20"/>
        </w:rPr>
      </w:pPr>
      <w:r>
        <w:rPr>
          <w:rFonts w:hint="eastAsia" w:cs="Times New Roman"/>
          <w:kern w:val="2"/>
          <w:szCs w:val="20"/>
        </w:rPr>
        <w:t>（2）认证机构具备实施认证的能力；</w:t>
      </w:r>
    </w:p>
    <w:p w14:paraId="2EEFEF31">
      <w:pPr>
        <w:autoSpaceDE/>
        <w:autoSpaceDN/>
        <w:spacing w:line="312" w:lineRule="auto"/>
        <w:ind w:firstLine="420"/>
        <w:rPr>
          <w:rFonts w:hint="eastAsia" w:cs="Times New Roman"/>
          <w:kern w:val="2"/>
          <w:szCs w:val="20"/>
        </w:rPr>
      </w:pPr>
      <w:r>
        <w:rPr>
          <w:rFonts w:hint="eastAsia" w:cs="Times New Roman"/>
          <w:kern w:val="2"/>
          <w:szCs w:val="20"/>
        </w:rPr>
        <w:t>（3）双方就认证事宜达成一致。</w:t>
      </w:r>
    </w:p>
    <w:p w14:paraId="45B7EC4A">
      <w:pPr>
        <w:autoSpaceDE/>
        <w:autoSpaceDN/>
        <w:spacing w:line="312" w:lineRule="auto"/>
        <w:ind w:firstLine="420"/>
        <w:rPr>
          <w:rFonts w:hint="eastAsia" w:cs="Times New Roman"/>
          <w:kern w:val="2"/>
          <w:szCs w:val="20"/>
        </w:rPr>
      </w:pPr>
      <w:r>
        <w:rPr>
          <w:rFonts w:hint="eastAsia" w:cs="Times New Roman"/>
          <w:kern w:val="2"/>
          <w:szCs w:val="20"/>
        </w:rPr>
        <w:t>5.2.3 对于新的认证委托人，仅在同时满足下列情况的前提下，认证机构可实施认证转换，否则应按照初次认证开展认证活动：</w:t>
      </w:r>
    </w:p>
    <w:p w14:paraId="3BF0A348">
      <w:pPr>
        <w:autoSpaceDE/>
        <w:autoSpaceDN/>
        <w:spacing w:line="312" w:lineRule="auto"/>
        <w:ind w:firstLine="420"/>
        <w:rPr>
          <w:rFonts w:hint="eastAsia" w:cs="Times New Roman"/>
          <w:kern w:val="2"/>
          <w:szCs w:val="20"/>
        </w:rPr>
      </w:pPr>
      <w:r>
        <w:rPr>
          <w:rFonts w:hint="eastAsia" w:cs="Times New Roman"/>
          <w:kern w:val="2"/>
          <w:szCs w:val="20"/>
        </w:rPr>
        <w:t>（1）认证机构具有认证委托人申请认证的CXMS 认证范围的认可资格；</w:t>
      </w:r>
    </w:p>
    <w:p w14:paraId="19B4D72D">
      <w:pPr>
        <w:autoSpaceDE/>
        <w:autoSpaceDN/>
        <w:spacing w:line="312" w:lineRule="auto"/>
        <w:ind w:firstLine="420"/>
        <w:rPr>
          <w:rFonts w:hint="eastAsia" w:cs="Times New Roman"/>
          <w:kern w:val="2"/>
          <w:szCs w:val="20"/>
        </w:rPr>
      </w:pPr>
      <w:r>
        <w:rPr>
          <w:rFonts w:hint="eastAsia" w:cs="Times New Roman"/>
          <w:kern w:val="2"/>
          <w:szCs w:val="20"/>
        </w:rPr>
        <w:t>（2）认证委托人持有其他被认可的认证机构（原认证机构）颁发的带认可标识的CXMS认证证书（原认证证书）；</w:t>
      </w:r>
    </w:p>
    <w:p w14:paraId="49AFA0E7">
      <w:pPr>
        <w:autoSpaceDE/>
        <w:autoSpaceDN/>
        <w:spacing w:line="312" w:lineRule="auto"/>
        <w:ind w:firstLine="420"/>
        <w:rPr>
          <w:rFonts w:hint="eastAsia" w:cs="Times New Roman"/>
          <w:kern w:val="2"/>
          <w:szCs w:val="20"/>
        </w:rPr>
      </w:pPr>
      <w:r>
        <w:rPr>
          <w:rFonts w:hint="eastAsia" w:cs="Times New Roman"/>
          <w:kern w:val="2"/>
          <w:szCs w:val="20"/>
        </w:rPr>
        <w:t>（3）原认证证书处于有效期内，未被原认证机构实施暂停或撤销；</w:t>
      </w:r>
    </w:p>
    <w:p w14:paraId="71BCA9AA">
      <w:pPr>
        <w:autoSpaceDE/>
        <w:autoSpaceDN/>
        <w:spacing w:line="312" w:lineRule="auto"/>
        <w:ind w:firstLine="420"/>
        <w:rPr>
          <w:rFonts w:hint="eastAsia" w:cs="Times New Roman"/>
          <w:kern w:val="2"/>
          <w:szCs w:val="20"/>
        </w:rPr>
      </w:pPr>
      <w:r>
        <w:rPr>
          <w:rFonts w:hint="eastAsia" w:cs="Times New Roman"/>
          <w:kern w:val="2"/>
          <w:szCs w:val="20"/>
        </w:rPr>
        <w:t>（4）原认证机构认证业务正常运行，不存在认可资格到期、被暂停或撤销的问题；</w:t>
      </w:r>
    </w:p>
    <w:p w14:paraId="6DC5C03D">
      <w:pPr>
        <w:autoSpaceDE/>
        <w:autoSpaceDN/>
        <w:spacing w:line="312" w:lineRule="auto"/>
        <w:ind w:firstLine="420"/>
        <w:rPr>
          <w:rFonts w:hint="eastAsia" w:cs="Times New Roman"/>
          <w:kern w:val="2"/>
          <w:szCs w:val="20"/>
        </w:rPr>
      </w:pPr>
      <w:r>
        <w:rPr>
          <w:rFonts w:hint="eastAsia" w:cs="Times New Roman"/>
          <w:kern w:val="2"/>
          <w:szCs w:val="20"/>
        </w:rPr>
        <w:t>（5）认证机构应获得认证委托人初次认证审核报告或最近一次的再认证审核报告、监督审核报告、审核中发现的不符合及其纠正措施。</w:t>
      </w:r>
    </w:p>
    <w:p w14:paraId="566CCA23">
      <w:pPr>
        <w:autoSpaceDE/>
        <w:autoSpaceDN/>
        <w:spacing w:line="312" w:lineRule="auto"/>
        <w:ind w:firstLine="420"/>
        <w:rPr>
          <w:rFonts w:hint="eastAsia" w:cs="Times New Roman"/>
          <w:kern w:val="2"/>
          <w:szCs w:val="20"/>
        </w:rPr>
      </w:pPr>
      <w:r>
        <w:rPr>
          <w:rFonts w:hint="eastAsia" w:cs="Times New Roman"/>
          <w:kern w:val="2"/>
          <w:szCs w:val="20"/>
        </w:rPr>
        <w:t>5.2.4 认证机构应将申请评审的结果告知认证委托人。</w:t>
      </w:r>
    </w:p>
    <w:bookmarkEnd w:id="44"/>
    <w:bookmarkEnd w:id="45"/>
    <w:bookmarkEnd w:id="46"/>
    <w:bookmarkEnd w:id="47"/>
    <w:p w14:paraId="269382CC">
      <w:pPr>
        <w:pStyle w:val="26"/>
        <w:ind w:firstLine="422"/>
        <w:rPr>
          <w:rFonts w:hint="eastAsia"/>
        </w:rPr>
      </w:pPr>
      <w:bookmarkStart w:id="48" w:name="_Toc14627"/>
      <w:bookmarkStart w:id="49" w:name="_Toc226880934"/>
      <w:r>
        <w:rPr>
          <w:rFonts w:hint="eastAsia"/>
        </w:rPr>
        <w:t>5.3  认证合同及相关责任</w:t>
      </w:r>
      <w:bookmarkEnd w:id="48"/>
      <w:bookmarkEnd w:id="49"/>
    </w:p>
    <w:p w14:paraId="040D9D09">
      <w:pPr>
        <w:autoSpaceDE/>
        <w:autoSpaceDN/>
        <w:spacing w:line="312" w:lineRule="auto"/>
        <w:ind w:firstLine="420"/>
        <w:rPr>
          <w:rFonts w:hint="eastAsia" w:cs="Times New Roman"/>
          <w:kern w:val="2"/>
          <w:szCs w:val="20"/>
        </w:rPr>
      </w:pPr>
      <w:r>
        <w:rPr>
          <w:rFonts w:hint="eastAsia" w:cs="Times New Roman"/>
          <w:kern w:val="2"/>
          <w:szCs w:val="20"/>
        </w:rPr>
        <w:t>5.3.1 通过申请评审的，认证机构应与每个认证委托人签订具有法律效力的认证合同，明确认证服务的费用、付费方式和违约条款，及认证委托人、认证机构和获证组织的责任。认证费用应由认证委托人向认证机构直接支付。</w:t>
      </w:r>
    </w:p>
    <w:p w14:paraId="194E1C57">
      <w:pPr>
        <w:autoSpaceDE/>
        <w:autoSpaceDN/>
        <w:spacing w:line="312" w:lineRule="auto"/>
        <w:ind w:firstLine="420"/>
        <w:rPr>
          <w:rFonts w:hint="eastAsia" w:cs="Times New Roman"/>
          <w:kern w:val="2"/>
          <w:szCs w:val="20"/>
        </w:rPr>
      </w:pPr>
      <w:r>
        <w:rPr>
          <w:rFonts w:hint="eastAsia" w:cs="Times New Roman"/>
          <w:kern w:val="2"/>
          <w:szCs w:val="20"/>
        </w:rPr>
        <w:t>5.3.2 认证机构应及时向符合认证要求的认证委托人颁发认证证书，对获证组织CXMS运行情况进行有效监督，通过其网站或者其他形式向社会公布认证证书信息；因认证机构批准资质注销或被撤销导致获证组织CXMS认证证书无法有效保持的，需及时告知获证组织并做出妥善处理，并承担由此导致的获证组织在合同上约定或法律认定的经济损失。</w:t>
      </w:r>
    </w:p>
    <w:p w14:paraId="64A206AD">
      <w:pPr>
        <w:autoSpaceDE/>
        <w:autoSpaceDN/>
        <w:spacing w:line="312" w:lineRule="auto"/>
        <w:ind w:firstLine="420"/>
        <w:rPr>
          <w:rFonts w:hint="eastAsia" w:cs="Times New Roman"/>
          <w:kern w:val="2"/>
          <w:szCs w:val="20"/>
        </w:rPr>
      </w:pPr>
      <w:r>
        <w:rPr>
          <w:rFonts w:hint="eastAsia" w:cs="Times New Roman"/>
          <w:kern w:val="2"/>
          <w:szCs w:val="20"/>
        </w:rPr>
        <w:t>5.3.3 认证委托人应遵守认证程序要求，如实提供相关材料和信息，配合认证行政监管部门的监督检查和认证机构对投诉的调查，及时向认证机构通报CXMS及 5.1.2 中条件的变更情况，承担选择的认证机构资质被撤销而带来的认证活动终止、认证证书无法使用的风险。</w:t>
      </w:r>
    </w:p>
    <w:p w14:paraId="36E70938">
      <w:pPr>
        <w:autoSpaceDE/>
        <w:autoSpaceDN/>
        <w:spacing w:line="312" w:lineRule="auto"/>
        <w:ind w:firstLine="420"/>
        <w:rPr>
          <w:rFonts w:hint="eastAsia" w:cs="Times New Roman"/>
          <w:kern w:val="2"/>
          <w:szCs w:val="20"/>
        </w:rPr>
      </w:pPr>
      <w:r>
        <w:rPr>
          <w:rFonts w:hint="eastAsia" w:cs="Times New Roman"/>
          <w:kern w:val="2"/>
          <w:szCs w:val="20"/>
        </w:rPr>
        <w:t>5.3.4 获证组织应遵守认证程序要求，如实提供相关材料和信息，通过CXMS认证后持续有效运行 CXMS，配合认证行政监管部门的监督检查和认证机构对投诉的调查，在广告、宣传等活动中正确使用认证证书、认证标志和有关信息，及时向认证机构通报CXMS及 5.1.2 中条件的变更情况，承担选择的认证机构资质被撤销而带来的认证证书无法使用的风险。</w:t>
      </w:r>
    </w:p>
    <w:p w14:paraId="5859722C">
      <w:pPr>
        <w:pStyle w:val="26"/>
        <w:ind w:firstLine="422"/>
        <w:rPr>
          <w:rFonts w:hint="eastAsia"/>
        </w:rPr>
      </w:pPr>
      <w:bookmarkStart w:id="50" w:name="_Toc226880935"/>
      <w:bookmarkStart w:id="51" w:name="_Toc26852"/>
      <w:bookmarkStart w:id="52" w:name="_Toc12225"/>
      <w:bookmarkStart w:id="53" w:name="_Toc200873897"/>
      <w:r>
        <w:rPr>
          <w:rFonts w:hint="eastAsia"/>
        </w:rPr>
        <w:t>5.4  审核方案和审核策划</w:t>
      </w:r>
      <w:bookmarkEnd w:id="50"/>
      <w:bookmarkEnd w:id="51"/>
    </w:p>
    <w:p w14:paraId="7A7DF11A">
      <w:pPr>
        <w:autoSpaceDE/>
        <w:autoSpaceDN/>
        <w:spacing w:line="312" w:lineRule="auto"/>
        <w:ind w:firstLine="420"/>
        <w:rPr>
          <w:rFonts w:hint="eastAsia" w:cs="Times New Roman"/>
          <w:kern w:val="2"/>
          <w:szCs w:val="20"/>
        </w:rPr>
      </w:pPr>
      <w:r>
        <w:rPr>
          <w:rFonts w:hint="eastAsia" w:cs="Times New Roman"/>
          <w:kern w:val="2"/>
          <w:szCs w:val="20"/>
        </w:rPr>
        <w:t>5.4.1 审核方案</w:t>
      </w:r>
    </w:p>
    <w:p w14:paraId="4C975A98">
      <w:pPr>
        <w:autoSpaceDE/>
        <w:autoSpaceDN/>
        <w:spacing w:line="312" w:lineRule="auto"/>
        <w:ind w:firstLine="420"/>
        <w:rPr>
          <w:rFonts w:hint="eastAsia" w:cs="Times New Roman"/>
          <w:kern w:val="2"/>
          <w:szCs w:val="20"/>
        </w:rPr>
      </w:pPr>
      <w:r>
        <w:rPr>
          <w:rFonts w:hint="eastAsia" w:cs="Times New Roman"/>
          <w:kern w:val="2"/>
          <w:szCs w:val="20"/>
        </w:rPr>
        <w:t>5.4.1.1 认证机构应针对每一认证委托人建立认证周期内的审核方案， 以清晰地识别所需的审核活动。</w:t>
      </w:r>
    </w:p>
    <w:p w14:paraId="657B65A3">
      <w:pPr>
        <w:autoSpaceDE/>
        <w:autoSpaceDN/>
        <w:spacing w:line="312" w:lineRule="auto"/>
        <w:ind w:firstLine="420"/>
        <w:rPr>
          <w:rFonts w:hint="eastAsia" w:cs="Times New Roman"/>
          <w:kern w:val="2"/>
          <w:szCs w:val="20"/>
        </w:rPr>
      </w:pPr>
      <w:r>
        <w:rPr>
          <w:rFonts w:hint="eastAsia" w:cs="Times New Roman"/>
          <w:kern w:val="2"/>
          <w:szCs w:val="20"/>
        </w:rPr>
        <w:t>5.4.1.2 初次认证的审核方案应包括两阶段初次认证审核、获证后的监督审核和认证到期前的再认证审核。再认证的审核方案应包括再认证审核、获证后的监督审核和认证到期前的再认证审核。</w:t>
      </w:r>
    </w:p>
    <w:p w14:paraId="49F7180C">
      <w:pPr>
        <w:autoSpaceDE/>
        <w:autoSpaceDN/>
        <w:spacing w:line="312" w:lineRule="auto"/>
        <w:ind w:firstLine="420"/>
        <w:rPr>
          <w:rFonts w:hint="eastAsia" w:cs="Times New Roman"/>
          <w:kern w:val="2"/>
          <w:szCs w:val="20"/>
        </w:rPr>
      </w:pPr>
      <w:r>
        <w:rPr>
          <w:rFonts w:hint="eastAsia" w:cs="Times New Roman"/>
          <w:kern w:val="2"/>
          <w:szCs w:val="20"/>
        </w:rPr>
        <w:t>5.4.1.3 初次认证审核和再认证审核是对认证委托人完整体系的审核，应覆盖GB/T 31950-2023《企业诚信管理体系 要求》所有要求， 以及认证范围内的典型产品和服务。认证证书有效期内的监督审核累计应覆盖GB/T 31950-2023《企业诚信管理体系 要求》所有要求。</w:t>
      </w:r>
    </w:p>
    <w:p w14:paraId="27626B8A">
      <w:pPr>
        <w:autoSpaceDE/>
        <w:autoSpaceDN/>
        <w:spacing w:line="312" w:lineRule="auto"/>
        <w:ind w:firstLine="420"/>
        <w:rPr>
          <w:rFonts w:hint="eastAsia" w:cs="Times New Roman"/>
          <w:kern w:val="2"/>
          <w:szCs w:val="20"/>
        </w:rPr>
      </w:pPr>
      <w:r>
        <w:rPr>
          <w:rFonts w:hint="eastAsia" w:cs="Times New Roman"/>
          <w:kern w:val="2"/>
          <w:szCs w:val="20"/>
        </w:rPr>
        <w:t>5.4.1.4 初次认证及再认证后的第一次监督审核应在认证证书签发之日起 12个月内进行。 此后，监督审核间隔不应超过12个月。</w:t>
      </w:r>
    </w:p>
    <w:p w14:paraId="05C4452F">
      <w:pPr>
        <w:autoSpaceDE/>
        <w:autoSpaceDN/>
        <w:spacing w:line="312" w:lineRule="auto"/>
        <w:ind w:firstLine="420"/>
        <w:rPr>
          <w:rFonts w:hint="eastAsia" w:cs="Times New Roman"/>
          <w:kern w:val="2"/>
          <w:szCs w:val="20"/>
        </w:rPr>
      </w:pPr>
      <w:r>
        <w:rPr>
          <w:rFonts w:hint="eastAsia" w:cs="Times New Roman"/>
          <w:kern w:val="2"/>
          <w:szCs w:val="20"/>
        </w:rPr>
        <w:t>5.4.1.5 认证机构应考虑认证委托人不同班次完成的过程，以及其所证实的对每个班次的CXMS控制水平来策划对不同班次实施的审核程度， 以确保审核的有效性：</w:t>
      </w:r>
    </w:p>
    <w:p w14:paraId="559ECA74">
      <w:pPr>
        <w:autoSpaceDE/>
        <w:autoSpaceDN/>
        <w:spacing w:line="312" w:lineRule="auto"/>
        <w:ind w:firstLine="420"/>
        <w:rPr>
          <w:rFonts w:hint="eastAsia" w:cs="Times New Roman"/>
          <w:kern w:val="2"/>
          <w:szCs w:val="20"/>
        </w:rPr>
      </w:pPr>
      <w:r>
        <w:rPr>
          <w:rFonts w:hint="eastAsia" w:cs="Times New Roman"/>
          <w:kern w:val="2"/>
          <w:szCs w:val="20"/>
        </w:rPr>
        <w:t>（1）每次审核应至少对其中的一个班次的生产或服务的活动现场进行审核；</w:t>
      </w:r>
    </w:p>
    <w:p w14:paraId="47C9AEB0">
      <w:pPr>
        <w:autoSpaceDE/>
        <w:autoSpaceDN/>
        <w:spacing w:line="312" w:lineRule="auto"/>
        <w:ind w:firstLine="420"/>
        <w:rPr>
          <w:rFonts w:hint="eastAsia" w:cs="Times New Roman"/>
          <w:kern w:val="2"/>
          <w:szCs w:val="20"/>
        </w:rPr>
      </w:pPr>
      <w:r>
        <w:rPr>
          <w:rFonts w:hint="eastAsia" w:cs="Times New Roman"/>
          <w:kern w:val="2"/>
          <w:szCs w:val="20"/>
        </w:rPr>
        <w:t>（2）未审核其他班次生产或服务活动现场的，应记录未审核的理由。</w:t>
      </w:r>
    </w:p>
    <w:p w14:paraId="1F3F7B05">
      <w:pPr>
        <w:autoSpaceDE/>
        <w:autoSpaceDN/>
        <w:spacing w:line="312" w:lineRule="auto"/>
        <w:ind w:firstLine="420"/>
        <w:rPr>
          <w:rFonts w:hint="eastAsia" w:cs="Times New Roman"/>
          <w:kern w:val="2"/>
          <w:szCs w:val="20"/>
        </w:rPr>
      </w:pPr>
      <w:r>
        <w:rPr>
          <w:rFonts w:hint="eastAsia" w:cs="Times New Roman"/>
          <w:kern w:val="2"/>
          <w:szCs w:val="20"/>
        </w:rPr>
        <w:t>5.4.2 审核时间</w:t>
      </w:r>
    </w:p>
    <w:p w14:paraId="615F2390">
      <w:pPr>
        <w:autoSpaceDE/>
        <w:autoSpaceDN/>
        <w:spacing w:line="312" w:lineRule="auto"/>
        <w:ind w:firstLine="420"/>
        <w:rPr>
          <w:rFonts w:hint="eastAsia" w:cs="Times New Roman"/>
          <w:kern w:val="2"/>
          <w:szCs w:val="20"/>
        </w:rPr>
      </w:pPr>
      <w:r>
        <w:rPr>
          <w:rFonts w:hint="eastAsia" w:cs="Times New Roman"/>
          <w:kern w:val="2"/>
          <w:szCs w:val="20"/>
        </w:rPr>
        <w:t>5.4.2.1 审核时间包括在认证委托人现场的审核时间以及在现场审核以外实施策划、文件审核和编写审核报告等活动的时间。审核时间以人日计，1 人日为 8 小时，不应通过增加工作日的工作小时数以减少审核人日数。</w:t>
      </w:r>
    </w:p>
    <w:p w14:paraId="19E446B9">
      <w:pPr>
        <w:autoSpaceDE/>
        <w:autoSpaceDN/>
        <w:spacing w:line="312" w:lineRule="auto"/>
        <w:ind w:firstLine="420"/>
        <w:rPr>
          <w:rFonts w:hint="eastAsia" w:cs="Times New Roman"/>
          <w:kern w:val="2"/>
          <w:szCs w:val="20"/>
        </w:rPr>
      </w:pPr>
      <w:r>
        <w:rPr>
          <w:rFonts w:hint="eastAsia" w:cs="Times New Roman"/>
          <w:kern w:val="2"/>
          <w:szCs w:val="20"/>
        </w:rPr>
        <w:t>如果认证委托人工作日的实际工作时间不足 8 小时，则应延长现场审核天数以满足审核时间要求。</w:t>
      </w:r>
    </w:p>
    <w:p w14:paraId="6579E0E6">
      <w:pPr>
        <w:autoSpaceDE/>
        <w:autoSpaceDN/>
        <w:spacing w:line="312" w:lineRule="auto"/>
        <w:ind w:firstLine="420"/>
        <w:rPr>
          <w:rFonts w:hint="eastAsia" w:cs="Times New Roman"/>
          <w:kern w:val="2"/>
          <w:szCs w:val="20"/>
        </w:rPr>
      </w:pPr>
      <w:r>
        <w:rPr>
          <w:rFonts w:hint="eastAsia" w:cs="Times New Roman"/>
          <w:kern w:val="2"/>
          <w:szCs w:val="20"/>
        </w:rPr>
        <w:t>5.4.2.2 认证机构应以附录 B 所规定的审核时间为基础，考虑认证委托人有效人数、CXMS风险类型等因素，建立文件化的不同审核类型审核时间（包括现场审核时间）的确定方法。不同业务范围CXMS风险类型引用“QMS 风险类型示例见附录 A 表 A.2”。</w:t>
      </w:r>
    </w:p>
    <w:p w14:paraId="0FB5D284">
      <w:pPr>
        <w:autoSpaceDE/>
        <w:autoSpaceDN/>
        <w:spacing w:line="312" w:lineRule="auto"/>
        <w:ind w:firstLine="420"/>
        <w:rPr>
          <w:rFonts w:hint="eastAsia" w:cs="Times New Roman"/>
          <w:kern w:val="2"/>
          <w:szCs w:val="20"/>
        </w:rPr>
      </w:pPr>
      <w:r>
        <w:rPr>
          <w:rFonts w:hint="eastAsia" w:cs="Times New Roman"/>
          <w:kern w:val="2"/>
          <w:szCs w:val="20"/>
        </w:rPr>
        <w:t>5.4.2.3 每次审核的审核时间确定过程应形成记录，尤其是减少审核时间的理由，减少的审核时间不得超过附录 B 所规定的审核时间的 30％，现场审核时间不得少于所确定的审核时间的80%。如果审核人日计算后结果包括小数，宜将其调整为最接近的半人日数。</w:t>
      </w:r>
    </w:p>
    <w:p w14:paraId="4D59C833">
      <w:pPr>
        <w:autoSpaceDE/>
        <w:autoSpaceDN/>
        <w:spacing w:line="312" w:lineRule="auto"/>
        <w:ind w:firstLine="420"/>
        <w:rPr>
          <w:rFonts w:hint="eastAsia" w:cs="Times New Roman"/>
          <w:kern w:val="2"/>
          <w:szCs w:val="20"/>
        </w:rPr>
      </w:pPr>
      <w:r>
        <w:rPr>
          <w:rFonts w:hint="eastAsia" w:cs="Times New Roman"/>
          <w:kern w:val="2"/>
          <w:szCs w:val="20"/>
        </w:rPr>
        <w:t>5.4.3 多场所抽样方案</w:t>
      </w:r>
    </w:p>
    <w:p w14:paraId="086239DA">
      <w:pPr>
        <w:autoSpaceDE/>
        <w:autoSpaceDN/>
        <w:spacing w:line="312" w:lineRule="auto"/>
        <w:ind w:firstLine="420"/>
        <w:rPr>
          <w:rFonts w:hint="eastAsia" w:cs="Times New Roman"/>
          <w:kern w:val="2"/>
          <w:szCs w:val="20"/>
        </w:rPr>
      </w:pPr>
      <w:r>
        <w:rPr>
          <w:rFonts w:hint="eastAsia" w:cs="Times New Roman"/>
          <w:kern w:val="2"/>
          <w:szCs w:val="20"/>
        </w:rPr>
        <w:t>5.4.3.1 认证机构应建立并实施文件化的多场所组织认证抽样的规则，策划并保留多场所组织的抽样及审核时间确定的记录。</w:t>
      </w:r>
    </w:p>
    <w:p w14:paraId="3B521432">
      <w:pPr>
        <w:autoSpaceDE/>
        <w:autoSpaceDN/>
        <w:spacing w:line="312" w:lineRule="auto"/>
        <w:ind w:firstLine="420"/>
        <w:rPr>
          <w:rFonts w:hint="eastAsia" w:cs="Times New Roman"/>
          <w:kern w:val="2"/>
          <w:szCs w:val="20"/>
        </w:rPr>
      </w:pPr>
      <w:r>
        <w:rPr>
          <w:rFonts w:hint="eastAsia" w:cs="Times New Roman"/>
          <w:kern w:val="2"/>
          <w:szCs w:val="20"/>
        </w:rPr>
        <w:t>5.4.3.2 多场所抽样应基于与认证委托人活动或过程性质相关的CXMS 风险的评价。</w:t>
      </w:r>
    </w:p>
    <w:p w14:paraId="56DD9E40">
      <w:pPr>
        <w:autoSpaceDE/>
        <w:autoSpaceDN/>
        <w:spacing w:line="312" w:lineRule="auto"/>
        <w:ind w:firstLine="420"/>
        <w:rPr>
          <w:rFonts w:hint="eastAsia" w:cs="Times New Roman"/>
          <w:kern w:val="2"/>
          <w:szCs w:val="20"/>
        </w:rPr>
      </w:pPr>
      <w:r>
        <w:rPr>
          <w:rFonts w:hint="eastAsia" w:cs="Times New Roman"/>
          <w:kern w:val="2"/>
          <w:szCs w:val="20"/>
        </w:rPr>
        <w:t>5.4.3.3 对涵盖相同活动、过程及CXMS风险类型的多个相似场所可进行抽样审核，抽样数量应不少于按以下方法计算的结果：</w:t>
      </w:r>
    </w:p>
    <w:p w14:paraId="0F0CE029">
      <w:pPr>
        <w:autoSpaceDE/>
        <w:autoSpaceDN/>
        <w:spacing w:line="312" w:lineRule="auto"/>
        <w:ind w:firstLine="420"/>
        <w:rPr>
          <w:rFonts w:hint="eastAsia" w:cs="Times New Roman"/>
          <w:kern w:val="2"/>
          <w:szCs w:val="20"/>
        </w:rPr>
      </w:pPr>
      <w:r>
        <w:rPr>
          <w:rFonts w:hint="eastAsia" w:cs="Times New Roman"/>
          <w:kern w:val="2"/>
          <w:szCs w:val="20"/>
        </w:rPr>
        <mc:AlternateContent>
          <mc:Choice Requires="wps">
            <w:drawing>
              <wp:anchor distT="0" distB="0" distL="114300" distR="114300" simplePos="0" relativeHeight="251664384" behindDoc="0" locked="0" layoutInCell="1" allowOverlap="1">
                <wp:simplePos x="0" y="0"/>
                <wp:positionH relativeFrom="column">
                  <wp:posOffset>1807210</wp:posOffset>
                </wp:positionH>
                <wp:positionV relativeFrom="paragraph">
                  <wp:posOffset>53340</wp:posOffset>
                </wp:positionV>
                <wp:extent cx="216535" cy="139065"/>
                <wp:effectExtent l="0" t="0" r="12065" b="13335"/>
                <wp:wrapNone/>
                <wp:docPr id="13" name="任意多边形 13"/>
                <wp:cNvGraphicFramePr/>
                <a:graphic xmlns:a="http://schemas.openxmlformats.org/drawingml/2006/main">
                  <a:graphicData uri="http://schemas.microsoft.com/office/word/2010/wordprocessingShape">
                    <wps:wsp>
                      <wps:cNvSpPr/>
                      <wps:spPr>
                        <a:xfrm>
                          <a:off x="0" y="0"/>
                          <a:ext cx="216535" cy="139065"/>
                        </a:xfrm>
                        <a:custGeom>
                          <a:avLst/>
                          <a:gdLst/>
                          <a:ahLst/>
                          <a:cxnLst/>
                          <a:rect l="0" t="0" r="0" b="0"/>
                          <a:pathLst>
                            <a:path w="435" h="308">
                              <a:moveTo>
                                <a:pt x="51" y="145"/>
                              </a:moveTo>
                              <a:lnTo>
                                <a:pt x="106" y="266"/>
                              </a:lnTo>
                              <a:lnTo>
                                <a:pt x="183" y="0"/>
                              </a:lnTo>
                              <a:lnTo>
                                <a:pt x="435" y="0"/>
                              </a:lnTo>
                              <a:lnTo>
                                <a:pt x="435" y="21"/>
                              </a:lnTo>
                              <a:lnTo>
                                <a:pt x="204"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upright="1"/>
                    </wps:wsp>
                  </a:graphicData>
                </a:graphic>
              </wp:anchor>
            </w:drawing>
          </mc:Choice>
          <mc:Fallback>
            <w:pict>
              <v:shape id="_x0000_s1026" o:spid="_x0000_s1026" o:spt="100" style="position:absolute;left:0pt;margin-left:142.3pt;margin-top:4.2pt;height:10.95pt;width:17.05pt;z-index:251664384;mso-width-relative:page;mso-height-relative:page;" fillcolor="#000000" filled="t" stroked="f" coordsize="435,308" o:gfxdata="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qLPYd&#10;1gAAAAgBAAAPAAAAAAAAAAEAIAAAACIAAABkcnMvZG93bnJldi54bWxQSwECFAAUAAAACACHTuJA&#10;LzeVy1wCAAD5BQAADgAAAAAAAAABACAAAAAlAQAAZHJzL2Uyb0RvYy54bWxQSwUGAAAAAAYABgBZ&#10;AQAA8wUAAAAA&#10;" path="m51,145l106,266,183,0,435,0,435,21,204,21,204,21,195,21,111,308,95,308,31,168,4,180,0,168,51,145e">
                <v:fill on="t" focussize="0,0"/>
                <v:stroke on="f"/>
                <v:imagedata o:title=""/>
                <o:lock v:ext="edit" aspectratio="f"/>
              </v:shape>
            </w:pict>
          </mc:Fallback>
        </mc:AlternateContent>
      </w:r>
      <w:r>
        <w:rPr>
          <w:rFonts w:hint="eastAsia" w:cs="Times New Roman"/>
          <w:kern w:val="2"/>
          <w:szCs w:val="20"/>
        </w:rPr>
        <w:t>（ 1）初次认证审核：Y =  X ；</w:t>
      </w:r>
    </w:p>
    <w:p w14:paraId="7C002F60">
      <w:pPr>
        <w:autoSpaceDE/>
        <w:autoSpaceDN/>
        <w:spacing w:line="312" w:lineRule="auto"/>
        <w:ind w:firstLine="420"/>
        <w:rPr>
          <w:rFonts w:hint="eastAsia" w:cs="Times New Roman"/>
          <w:kern w:val="2"/>
          <w:szCs w:val="20"/>
        </w:rPr>
      </w:pPr>
      <w:r>
        <w:rPr>
          <w:rFonts w:hint="eastAsia" w:cs="Times New Roman"/>
          <w:kern w:val="2"/>
          <w:szCs w:val="20"/>
        </w:rPr>
        <mc:AlternateContent>
          <mc:Choice Requires="wps">
            <w:drawing>
              <wp:anchor distT="0" distB="0" distL="114300" distR="114300" simplePos="0" relativeHeight="251665408" behindDoc="0" locked="0" layoutInCell="1" allowOverlap="1">
                <wp:simplePos x="0" y="0"/>
                <wp:positionH relativeFrom="column">
                  <wp:posOffset>1807210</wp:posOffset>
                </wp:positionH>
                <wp:positionV relativeFrom="paragraph">
                  <wp:posOffset>50800</wp:posOffset>
                </wp:positionV>
                <wp:extent cx="216535" cy="139065"/>
                <wp:effectExtent l="0" t="0" r="12065" b="13335"/>
                <wp:wrapNone/>
                <wp:docPr id="12" name="任意多边形 12"/>
                <wp:cNvGraphicFramePr/>
                <a:graphic xmlns:a="http://schemas.openxmlformats.org/drawingml/2006/main">
                  <a:graphicData uri="http://schemas.microsoft.com/office/word/2010/wordprocessingShape">
                    <wps:wsp>
                      <wps:cNvSpPr/>
                      <wps:spPr>
                        <a:xfrm>
                          <a:off x="0" y="0"/>
                          <a:ext cx="216535" cy="139065"/>
                        </a:xfrm>
                        <a:custGeom>
                          <a:avLst/>
                          <a:gdLst/>
                          <a:ahLst/>
                          <a:cxnLst/>
                          <a:rect l="0" t="0" r="0" b="0"/>
                          <a:pathLst>
                            <a:path w="435" h="308">
                              <a:moveTo>
                                <a:pt x="51" y="145"/>
                              </a:moveTo>
                              <a:lnTo>
                                <a:pt x="106" y="266"/>
                              </a:lnTo>
                              <a:lnTo>
                                <a:pt x="183" y="0"/>
                              </a:lnTo>
                              <a:lnTo>
                                <a:pt x="435" y="0"/>
                              </a:lnTo>
                              <a:lnTo>
                                <a:pt x="435" y="21"/>
                              </a:lnTo>
                              <a:lnTo>
                                <a:pt x="204"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upright="1"/>
                    </wps:wsp>
                  </a:graphicData>
                </a:graphic>
              </wp:anchor>
            </w:drawing>
          </mc:Choice>
          <mc:Fallback>
            <w:pict>
              <v:shape id="_x0000_s1026" o:spid="_x0000_s1026" o:spt="100" style="position:absolute;left:0pt;margin-left:142.3pt;margin-top:4pt;height:10.95pt;width:17.05pt;z-index:251665408;mso-width-relative:page;mso-height-relative:page;" fillcolor="#000000" filled="t" stroked="f" coordsize="435,308" o:gfxdata="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MB1T/V&#10;AAAACAEAAA8AAAAAAAAAAQAgAAAAIgAAAGRycy9kb3ducmV2LnhtbFBLAQIUABQAAAAIAIdO4kBZ&#10;fIEMXAIAAPkFAAAOAAAAAAAAAAEAIAAAACQBAABkcnMvZTJvRG9jLnhtbFBLBQYAAAAABgAGAFkB&#10;AADyBQAAAAA=&#10;" path="m51,145l106,266,183,0,435,0,435,21,204,21,204,21,195,21,111,308,95,308,31,168,4,180,0,168,51,145e">
                <v:fill on="t" focussize="0,0"/>
                <v:stroke on="f"/>
                <v:imagedata o:title=""/>
                <o:lock v:ext="edit" aspectratio="f"/>
              </v:shape>
            </w:pict>
          </mc:Fallback>
        </mc:AlternateContent>
      </w:r>
      <w:r>
        <w:rPr>
          <w:rFonts w:hint="eastAsia" w:cs="Times New Roman"/>
          <w:kern w:val="2"/>
          <w:szCs w:val="20"/>
        </w:rPr>
        <w:t>（ 2）监督审核：Y = 0.6  X ；</w:t>
      </w:r>
    </w:p>
    <w:p w14:paraId="2E2675B4">
      <w:pPr>
        <w:autoSpaceDE/>
        <w:autoSpaceDN/>
        <w:spacing w:line="312" w:lineRule="auto"/>
        <w:ind w:firstLine="420"/>
        <w:rPr>
          <w:rFonts w:hint="eastAsia" w:cs="Times New Roman"/>
          <w:kern w:val="2"/>
          <w:szCs w:val="20"/>
        </w:rPr>
      </w:pPr>
      <w:r>
        <w:rPr>
          <w:rFonts w:hint="eastAsia" w:cs="Times New Roman"/>
          <w:kern w:val="2"/>
          <w:szCs w:val="20"/>
        </w:rPr>
        <mc:AlternateContent>
          <mc:Choice Requires="wps">
            <w:drawing>
              <wp:anchor distT="0" distB="0" distL="114300" distR="114300" simplePos="0" relativeHeight="251666432" behindDoc="0" locked="0" layoutInCell="1" allowOverlap="1">
                <wp:simplePos x="0" y="0"/>
                <wp:positionH relativeFrom="column">
                  <wp:posOffset>1948180</wp:posOffset>
                </wp:positionH>
                <wp:positionV relativeFrom="paragraph">
                  <wp:posOffset>52070</wp:posOffset>
                </wp:positionV>
                <wp:extent cx="216535" cy="139065"/>
                <wp:effectExtent l="0" t="0" r="12065" b="13335"/>
                <wp:wrapNone/>
                <wp:docPr id="14" name="任意多边形 14"/>
                <wp:cNvGraphicFramePr/>
                <a:graphic xmlns:a="http://schemas.openxmlformats.org/drawingml/2006/main">
                  <a:graphicData uri="http://schemas.microsoft.com/office/word/2010/wordprocessingShape">
                    <wps:wsp>
                      <wps:cNvSpPr/>
                      <wps:spPr>
                        <a:xfrm>
                          <a:off x="0" y="0"/>
                          <a:ext cx="216535" cy="139065"/>
                        </a:xfrm>
                        <a:custGeom>
                          <a:avLst/>
                          <a:gdLst/>
                          <a:ahLst/>
                          <a:cxnLst/>
                          <a:rect l="0" t="0" r="0" b="0"/>
                          <a:pathLst>
                            <a:path w="435" h="308">
                              <a:moveTo>
                                <a:pt x="51" y="145"/>
                              </a:moveTo>
                              <a:lnTo>
                                <a:pt x="106" y="266"/>
                              </a:lnTo>
                              <a:lnTo>
                                <a:pt x="183" y="0"/>
                              </a:lnTo>
                              <a:lnTo>
                                <a:pt x="435" y="0"/>
                              </a:lnTo>
                              <a:lnTo>
                                <a:pt x="435" y="21"/>
                              </a:lnTo>
                              <a:lnTo>
                                <a:pt x="204"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upright="1"/>
                    </wps:wsp>
                  </a:graphicData>
                </a:graphic>
              </wp:anchor>
            </w:drawing>
          </mc:Choice>
          <mc:Fallback>
            <w:pict>
              <v:shape id="_x0000_s1026" o:spid="_x0000_s1026" o:spt="100" style="position:absolute;left:0pt;margin-left:153.4pt;margin-top:4.1pt;height:10.95pt;width:17.05pt;z-index:251666432;mso-width-relative:page;mso-height-relative:page;" fillcolor="#000000" filled="t" stroked="f" coordsize="435,308" o:gfxdata="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cy9czUAAAA&#10;CAEAAA8AAAAAAAAAAQAgAAAAIgAAAGRycy9kb3ducmV2LnhtbFBLAQIUABQAAAAIAIdO4kCuzWvz&#10;WgIAAPkFAAAOAAAAAAAAAAEAIAAAACMBAABkcnMvZTJvRG9jLnhtbFBLBQYAAAAABgAGAFkBAADv&#10;BQAAAAA=&#10;" path="m51,145l106,266,183,0,435,0,435,21,204,21,204,21,195,21,111,308,95,308,31,168,4,180,0,168,51,145e">
                <v:fill on="t" focussize="0,0"/>
                <v:stroke on="f"/>
                <v:imagedata o:title=""/>
                <o:lock v:ext="edit" aspectratio="f"/>
              </v:shape>
            </w:pict>
          </mc:Fallback>
        </mc:AlternateContent>
      </w:r>
      <w:r>
        <w:rPr>
          <w:rFonts w:hint="eastAsia" w:cs="Times New Roman"/>
          <w:kern w:val="2"/>
          <w:szCs w:val="20"/>
        </w:rPr>
        <w:t>（ 3）再认证审核：Y = 0.8  X 。</w:t>
      </w:r>
    </w:p>
    <w:p w14:paraId="147E4FBD">
      <w:pPr>
        <w:autoSpaceDE/>
        <w:autoSpaceDN/>
        <w:spacing w:line="312" w:lineRule="auto"/>
        <w:ind w:firstLine="420"/>
        <w:rPr>
          <w:rFonts w:hint="eastAsia" w:cs="Times New Roman"/>
          <w:kern w:val="2"/>
          <w:szCs w:val="20"/>
        </w:rPr>
      </w:pPr>
      <w:r>
        <w:rPr>
          <w:rFonts w:hint="eastAsia" w:cs="Times New Roman"/>
          <w:kern w:val="2"/>
          <w:szCs w:val="20"/>
        </w:rPr>
        <w:t>注：其中Y 为抽样的数量，结果向上取整；X 为相似场所的总体数量。</w:t>
      </w:r>
    </w:p>
    <w:p w14:paraId="4CC5B4DD">
      <w:pPr>
        <w:autoSpaceDE/>
        <w:autoSpaceDN/>
        <w:spacing w:line="312" w:lineRule="auto"/>
        <w:ind w:firstLine="420"/>
        <w:rPr>
          <w:rFonts w:hint="eastAsia" w:cs="Times New Roman"/>
          <w:kern w:val="2"/>
          <w:szCs w:val="20"/>
        </w:rPr>
      </w:pPr>
      <w:r>
        <w:rPr>
          <w:rFonts w:hint="eastAsia" w:cs="Times New Roman"/>
          <w:kern w:val="2"/>
          <w:szCs w:val="20"/>
        </w:rPr>
        <w:t>5.4.3.4 对多个非相似场所，则不应抽样，初审和再认证审核应当逐一到各场所进行审核。监督审核应抽取不少于 30%的场所进行审核，且每次审核均应包括中心职能部门。第二次监督审核选取的场所通常不同于第一次监督审核所选取的场所。</w:t>
      </w:r>
    </w:p>
    <w:p w14:paraId="57B86CC2">
      <w:pPr>
        <w:autoSpaceDE/>
        <w:autoSpaceDN/>
        <w:spacing w:line="312" w:lineRule="auto"/>
        <w:ind w:firstLine="420"/>
        <w:rPr>
          <w:rFonts w:hint="eastAsia" w:cs="Times New Roman"/>
          <w:kern w:val="2"/>
          <w:szCs w:val="20"/>
        </w:rPr>
      </w:pPr>
      <w:r>
        <w:rPr>
          <w:rFonts w:hint="eastAsia" w:cs="Times New Roman"/>
          <w:kern w:val="2"/>
          <w:szCs w:val="20"/>
        </w:rPr>
        <w:t>5.4.3.5 分场所审核人日的计算方法参见 5.4.2，且现场审核时间不得少于依据附录 B 所确定的现场审核时间的 50%。</w:t>
      </w:r>
    </w:p>
    <w:bookmarkEnd w:id="52"/>
    <w:bookmarkEnd w:id="53"/>
    <w:p w14:paraId="59312C96">
      <w:pPr>
        <w:autoSpaceDE/>
        <w:autoSpaceDN/>
        <w:spacing w:line="312" w:lineRule="auto"/>
        <w:ind w:firstLine="420"/>
        <w:rPr>
          <w:rFonts w:hint="eastAsia" w:cs="Times New Roman"/>
          <w:kern w:val="2"/>
          <w:szCs w:val="20"/>
        </w:rPr>
      </w:pPr>
      <w:bookmarkStart w:id="54" w:name="_Toc200873899"/>
      <w:bookmarkStart w:id="55" w:name="_Toc205390519"/>
      <w:bookmarkStart w:id="56" w:name="_Toc9131"/>
      <w:bookmarkStart w:id="57" w:name="_Toc200873940"/>
      <w:bookmarkStart w:id="58" w:name="_Toc18671"/>
      <w:bookmarkStart w:id="59" w:name="_Toc200875069"/>
      <w:r>
        <w:rPr>
          <w:rFonts w:hint="eastAsia" w:cs="Times New Roman"/>
          <w:kern w:val="2"/>
          <w:szCs w:val="20"/>
        </w:rPr>
        <w:t>5.4.4 组建审核组</w:t>
      </w:r>
    </w:p>
    <w:p w14:paraId="4E8855BA">
      <w:pPr>
        <w:autoSpaceDE/>
        <w:autoSpaceDN/>
        <w:spacing w:line="312" w:lineRule="auto"/>
        <w:ind w:firstLine="420"/>
        <w:rPr>
          <w:rFonts w:hint="eastAsia" w:cs="Times New Roman"/>
          <w:kern w:val="2"/>
          <w:szCs w:val="20"/>
        </w:rPr>
      </w:pPr>
      <w:r>
        <w:rPr>
          <w:rFonts w:hint="eastAsia" w:cs="Times New Roman"/>
          <w:kern w:val="2"/>
          <w:szCs w:val="20"/>
        </w:rPr>
        <w:t>5.4.4.1 认证机构应根据实现审核目的所需的能力和公正性要求组建审核组，至少 1 名实施第一阶段审核的审核员应参加第二阶段审核，每个审核组应包括：</w:t>
      </w:r>
    </w:p>
    <w:p w14:paraId="5F4D953D">
      <w:pPr>
        <w:autoSpaceDE/>
        <w:autoSpaceDN/>
        <w:spacing w:line="312" w:lineRule="auto"/>
        <w:ind w:firstLine="420"/>
        <w:rPr>
          <w:rFonts w:hint="eastAsia" w:cs="Times New Roman"/>
          <w:kern w:val="2"/>
          <w:szCs w:val="20"/>
        </w:rPr>
      </w:pPr>
      <w:r>
        <w:rPr>
          <w:rFonts w:hint="eastAsia" w:cs="Times New Roman"/>
          <w:kern w:val="2"/>
          <w:szCs w:val="20"/>
        </w:rPr>
        <w:t>（1）审核组长：认证机构应建立并实施审核组长的选择、培训以及任用的管理制度；审核组长应当具有管理和领导审核组达成审核目标的知识和技能，其能力应至少满足 GB/T 19011《管理体系审核指南》中对审核组长的通用要求。</w:t>
      </w:r>
    </w:p>
    <w:p w14:paraId="3E6328BE">
      <w:pPr>
        <w:autoSpaceDE/>
        <w:autoSpaceDN/>
        <w:spacing w:line="312" w:lineRule="auto"/>
        <w:ind w:firstLine="420"/>
        <w:rPr>
          <w:rFonts w:hint="eastAsia" w:cs="Times New Roman"/>
          <w:kern w:val="2"/>
          <w:szCs w:val="20"/>
        </w:rPr>
      </w:pPr>
      <w:r>
        <w:rPr>
          <w:rFonts w:hint="eastAsia" w:cs="Times New Roman"/>
          <w:kern w:val="2"/>
          <w:szCs w:val="20"/>
        </w:rPr>
        <w:t>（2）至少 1 名与认证委托人所属认证业务范围相匹配的QMS（CXMS）专业人员（专业领域审核员或技术专家）。</w:t>
      </w:r>
    </w:p>
    <w:p w14:paraId="7D1EC3DB">
      <w:pPr>
        <w:autoSpaceDE/>
        <w:autoSpaceDN/>
        <w:spacing w:line="312" w:lineRule="auto"/>
        <w:ind w:firstLine="420"/>
        <w:rPr>
          <w:rFonts w:hint="eastAsia" w:cs="Times New Roman"/>
          <w:kern w:val="2"/>
          <w:szCs w:val="20"/>
        </w:rPr>
      </w:pPr>
      <w:r>
        <w:rPr>
          <w:rFonts w:hint="eastAsia" w:cs="Times New Roman"/>
          <w:kern w:val="2"/>
          <w:szCs w:val="20"/>
        </w:rPr>
        <w:t>（3）至少 1 名认证机构的专职审核员，并确保专职审核员全程参与 CXMS 审核过程。</w:t>
      </w:r>
    </w:p>
    <w:p w14:paraId="204CA9AA">
      <w:pPr>
        <w:autoSpaceDE/>
        <w:autoSpaceDN/>
        <w:spacing w:line="312" w:lineRule="auto"/>
        <w:ind w:firstLine="420"/>
        <w:rPr>
          <w:rFonts w:hint="eastAsia" w:cs="Times New Roman"/>
          <w:kern w:val="2"/>
          <w:szCs w:val="20"/>
        </w:rPr>
      </w:pPr>
      <w:r>
        <w:rPr>
          <w:rFonts w:hint="eastAsia" w:cs="Times New Roman"/>
          <w:kern w:val="2"/>
          <w:szCs w:val="20"/>
        </w:rPr>
        <w:t>5.4.4.2 技术专家主要负责为审核组提供技术支持，不作为审核员实施审核，不计入审核时间。</w:t>
      </w:r>
    </w:p>
    <w:p w14:paraId="38159109">
      <w:pPr>
        <w:autoSpaceDE/>
        <w:autoSpaceDN/>
        <w:spacing w:line="312" w:lineRule="auto"/>
        <w:ind w:firstLine="420"/>
        <w:rPr>
          <w:rFonts w:hint="eastAsia" w:cs="Times New Roman"/>
          <w:kern w:val="2"/>
          <w:szCs w:val="20"/>
        </w:rPr>
      </w:pPr>
      <w:r>
        <w:rPr>
          <w:rFonts w:hint="eastAsia" w:cs="Times New Roman"/>
          <w:kern w:val="2"/>
          <w:szCs w:val="20"/>
        </w:rPr>
        <w:t>5.4.4.3 实习审核员应在正式审核员的指导下参加审核，不计入审核时间，其在审核过程中的活动由负责指导的正式审核员承担责任。审核组中实习审核员的数量不得超过正式审核员的数量。</w:t>
      </w:r>
    </w:p>
    <w:p w14:paraId="2E69DB8A">
      <w:pPr>
        <w:autoSpaceDE/>
        <w:autoSpaceDN/>
        <w:spacing w:line="312" w:lineRule="auto"/>
        <w:ind w:firstLine="420"/>
        <w:rPr>
          <w:rFonts w:hint="eastAsia" w:cs="Times New Roman"/>
          <w:kern w:val="2"/>
          <w:szCs w:val="20"/>
        </w:rPr>
      </w:pPr>
      <w:r>
        <w:rPr>
          <w:rFonts w:hint="eastAsia" w:cs="Times New Roman"/>
          <w:kern w:val="2"/>
          <w:szCs w:val="20"/>
        </w:rPr>
        <w:t>5.4.4.4 审核组成员不得与认证委托人存在利益关系。</w:t>
      </w:r>
    </w:p>
    <w:p w14:paraId="2E180BBC">
      <w:pPr>
        <w:autoSpaceDE/>
        <w:autoSpaceDN/>
        <w:spacing w:line="312" w:lineRule="auto"/>
        <w:ind w:firstLine="420"/>
        <w:rPr>
          <w:rFonts w:hint="eastAsia" w:cs="Times New Roman"/>
          <w:kern w:val="2"/>
          <w:szCs w:val="20"/>
        </w:rPr>
      </w:pPr>
      <w:r>
        <w:rPr>
          <w:rFonts w:hint="eastAsia" w:cs="Times New Roman"/>
          <w:kern w:val="2"/>
          <w:szCs w:val="20"/>
        </w:rPr>
        <w:t>5.4.5 审核计划</w:t>
      </w:r>
    </w:p>
    <w:p w14:paraId="6B86F387">
      <w:pPr>
        <w:autoSpaceDE/>
        <w:autoSpaceDN/>
        <w:spacing w:line="312" w:lineRule="auto"/>
        <w:ind w:firstLine="420"/>
        <w:rPr>
          <w:rFonts w:hint="eastAsia" w:cs="Times New Roman"/>
          <w:kern w:val="2"/>
          <w:szCs w:val="20"/>
        </w:rPr>
      </w:pPr>
      <w:r>
        <w:rPr>
          <w:rFonts w:hint="eastAsia" w:cs="Times New Roman"/>
          <w:kern w:val="2"/>
          <w:szCs w:val="20"/>
        </w:rPr>
        <w:t>5.4.5.1 认证机构应依据审核方案制定每次现场审核的审核计划。审核计划至少包括：审核目的、审核准则、审核范围、现场审核的日期、时间安排和场所、审核组成员及审核任务安排。</w:t>
      </w:r>
    </w:p>
    <w:p w14:paraId="33395FC8">
      <w:pPr>
        <w:autoSpaceDE/>
        <w:autoSpaceDN/>
        <w:spacing w:line="312" w:lineRule="auto"/>
        <w:ind w:firstLine="420"/>
        <w:rPr>
          <w:rFonts w:hint="eastAsia" w:cs="Times New Roman"/>
          <w:kern w:val="2"/>
          <w:szCs w:val="20"/>
        </w:rPr>
      </w:pPr>
      <w:r>
        <w:rPr>
          <w:rFonts w:hint="eastAsia" w:cs="Times New Roman"/>
          <w:kern w:val="2"/>
          <w:szCs w:val="20"/>
        </w:rPr>
        <w:t>其中，审核员应注明QMS（CXMS）审核员注册号，专业领域审核员和技术专家应标明专业代码，兼职审核员和在职技术专家应注明工作单位。</w:t>
      </w:r>
    </w:p>
    <w:p w14:paraId="3B1C3820">
      <w:pPr>
        <w:autoSpaceDE/>
        <w:autoSpaceDN/>
        <w:spacing w:line="312" w:lineRule="auto"/>
        <w:ind w:firstLine="420"/>
        <w:rPr>
          <w:rFonts w:hint="eastAsia" w:cs="Times New Roman"/>
          <w:kern w:val="2"/>
          <w:szCs w:val="20"/>
        </w:rPr>
      </w:pPr>
      <w:r>
        <w:rPr>
          <w:rFonts w:hint="eastAsia" w:cs="Times New Roman"/>
          <w:kern w:val="2"/>
          <w:szCs w:val="20"/>
        </w:rPr>
        <w:t>5.4.5.2 现场审核应安排在认证委托人的生产或服务处于正常运行时进行。</w:t>
      </w:r>
    </w:p>
    <w:p w14:paraId="44A1ED81">
      <w:pPr>
        <w:autoSpaceDE/>
        <w:autoSpaceDN/>
        <w:spacing w:line="312" w:lineRule="auto"/>
        <w:ind w:firstLine="420"/>
        <w:rPr>
          <w:rFonts w:hint="eastAsia" w:cs="Times New Roman"/>
          <w:kern w:val="2"/>
          <w:szCs w:val="20"/>
        </w:rPr>
      </w:pPr>
      <w:r>
        <w:rPr>
          <w:rFonts w:hint="eastAsia" w:cs="Times New Roman"/>
          <w:kern w:val="2"/>
          <w:szCs w:val="20"/>
        </w:rPr>
        <w:t>5.4.5.3 现场审核开始前，应将审核计划提交给认证委托人并经其确认。如需要临时调整审核计划，应经双方协商一致后实施。</w:t>
      </w:r>
    </w:p>
    <w:bookmarkEnd w:id="54"/>
    <w:bookmarkEnd w:id="55"/>
    <w:bookmarkEnd w:id="56"/>
    <w:bookmarkEnd w:id="57"/>
    <w:bookmarkEnd w:id="58"/>
    <w:bookmarkEnd w:id="59"/>
    <w:p w14:paraId="13214B74">
      <w:pPr>
        <w:pStyle w:val="26"/>
        <w:ind w:firstLine="422"/>
        <w:rPr>
          <w:rFonts w:hint="eastAsia"/>
        </w:rPr>
      </w:pPr>
      <w:bookmarkStart w:id="60" w:name="_Toc4274"/>
      <w:bookmarkStart w:id="61" w:name="_Toc226880936"/>
      <w:bookmarkStart w:id="62" w:name="_Toc21372"/>
      <w:bookmarkStart w:id="63" w:name="_Toc200873901"/>
      <w:r>
        <w:rPr>
          <w:rFonts w:hint="eastAsia"/>
        </w:rPr>
        <w:t>5.5  实施审核</w:t>
      </w:r>
      <w:bookmarkEnd w:id="60"/>
      <w:bookmarkEnd w:id="61"/>
    </w:p>
    <w:p w14:paraId="7F584F98">
      <w:pPr>
        <w:ind w:firstLine="420"/>
        <w:rPr>
          <w:rFonts w:hint="eastAsia"/>
        </w:rPr>
      </w:pPr>
      <w:r>
        <w:rPr>
          <w:rFonts w:hint="eastAsia"/>
        </w:rPr>
        <w:t>5.5.1 CXMS 认证审核应在认证委托人的现场实施，包括初次认证审核以及认证周期内的每年度的监督审核、再认证审核和特殊审核。</w:t>
      </w:r>
    </w:p>
    <w:p w14:paraId="79F26BBB">
      <w:pPr>
        <w:ind w:firstLine="420"/>
        <w:rPr>
          <w:rFonts w:hint="eastAsia"/>
        </w:rPr>
      </w:pPr>
      <w:r>
        <w:rPr>
          <w:rFonts w:hint="eastAsia"/>
        </w:rPr>
        <w:t>5.5.2 审核组应按照审核计划实施审核，并采用中文记录审核过程，可补充使用图片/音像作为记录。</w:t>
      </w:r>
    </w:p>
    <w:p w14:paraId="641BEC54">
      <w:pPr>
        <w:ind w:firstLine="420"/>
        <w:rPr>
          <w:rFonts w:hint="eastAsia"/>
        </w:rPr>
      </w:pPr>
      <w:r>
        <w:rPr>
          <w:rFonts w:hint="eastAsia"/>
        </w:rPr>
        <w:t>5.5.3 审核组应会同认证委托人召开首、末次会议，认证委托人的最高管理者、CXMS相关职能部门负责人应参加首、末次会议，认证机构应保留首、末次会议签到记录、 图片/音像证明材料。认证委托人的最高管理者不能参加首、末次会议的，应由获得书面授权的其他高级管理层成员参会，审核组应记录最高管理者缺席理由。</w:t>
      </w:r>
    </w:p>
    <w:p w14:paraId="1E46350C">
      <w:pPr>
        <w:ind w:firstLine="420"/>
        <w:rPr>
          <w:rFonts w:hint="eastAsia"/>
        </w:rPr>
      </w:pPr>
      <w:r>
        <w:rPr>
          <w:rFonts w:hint="eastAsia"/>
        </w:rPr>
        <w:t>5.5.4 审核组应通过面对面访谈等形式，对认证委托人的最高管理者在 CXMS 中发挥领导作用的情况进行重点审核，并保留现场图片/音像、审核记录等证明材料。最高管理者不熟悉组织自身的 CXMS 方针、 CXMS 目标，未亲自参与并推动 CXMS 实施的，认证审核应不予通过。</w:t>
      </w:r>
    </w:p>
    <w:p w14:paraId="066DE1BC">
      <w:pPr>
        <w:ind w:firstLine="420"/>
        <w:rPr>
          <w:rFonts w:hint="eastAsia"/>
        </w:rPr>
      </w:pPr>
      <w:r>
        <w:rPr>
          <w:rFonts w:hint="eastAsia"/>
        </w:rPr>
        <w:t>5.5.5 发生下列情况的，审核组应向认证机构报告后终止审核：</w:t>
      </w:r>
    </w:p>
    <w:p w14:paraId="40798AA4">
      <w:pPr>
        <w:ind w:firstLine="420"/>
        <w:rPr>
          <w:rFonts w:hint="eastAsia"/>
        </w:rPr>
      </w:pPr>
      <w:r>
        <w:rPr>
          <w:rFonts w:hint="eastAsia"/>
        </w:rPr>
        <w:t>（1）认证委托人对审核活动不予配合，审核活动无法进行；</w:t>
      </w:r>
    </w:p>
    <w:p w14:paraId="11C888E7">
      <w:pPr>
        <w:ind w:firstLine="420"/>
        <w:rPr>
          <w:rFonts w:hint="eastAsia"/>
        </w:rPr>
      </w:pPr>
      <w:r>
        <w:rPr>
          <w:rFonts w:hint="eastAsia"/>
        </w:rPr>
        <w:t>（2）认证委托人的最高管理者或经授权的高级管理层成员缺席首、末次会议；</w:t>
      </w:r>
    </w:p>
    <w:p w14:paraId="5538B8CB">
      <w:pPr>
        <w:ind w:firstLine="420"/>
        <w:rPr>
          <w:rFonts w:hint="eastAsia"/>
        </w:rPr>
      </w:pPr>
      <w:r>
        <w:rPr>
          <w:rFonts w:hint="eastAsia"/>
        </w:rPr>
        <w:t>（3）认证委托人实际情况与申请材料有重大不一致；</w:t>
      </w:r>
    </w:p>
    <w:bookmarkEnd w:id="62"/>
    <w:bookmarkEnd w:id="63"/>
    <w:p w14:paraId="7C162A65">
      <w:pPr>
        <w:pStyle w:val="26"/>
        <w:ind w:firstLine="422"/>
        <w:rPr>
          <w:rFonts w:hint="eastAsia"/>
        </w:rPr>
      </w:pPr>
      <w:bookmarkStart w:id="64" w:name="_Toc226880937"/>
      <w:bookmarkStart w:id="65" w:name="_Toc14665"/>
      <w:bookmarkStart w:id="66" w:name="_Toc25284"/>
      <w:r>
        <w:rPr>
          <w:rFonts w:hint="eastAsia"/>
        </w:rPr>
        <w:t>5.6  初次认证审核</w:t>
      </w:r>
      <w:bookmarkEnd w:id="64"/>
      <w:bookmarkEnd w:id="65"/>
    </w:p>
    <w:p w14:paraId="79655F0C">
      <w:pPr>
        <w:autoSpaceDE/>
        <w:autoSpaceDN/>
        <w:spacing w:line="312" w:lineRule="auto"/>
        <w:ind w:firstLine="420"/>
        <w:rPr>
          <w:rFonts w:hint="eastAsia" w:cs="Times New Roman"/>
          <w:kern w:val="2"/>
          <w:szCs w:val="20"/>
        </w:rPr>
      </w:pPr>
      <w:r>
        <w:rPr>
          <w:rFonts w:hint="eastAsia" w:cs="Times New Roman"/>
          <w:kern w:val="2"/>
          <w:szCs w:val="20"/>
        </w:rPr>
        <w:t>5.6.1 总则</w:t>
      </w:r>
    </w:p>
    <w:p w14:paraId="40FC4107">
      <w:pPr>
        <w:autoSpaceDE/>
        <w:autoSpaceDN/>
        <w:spacing w:line="312" w:lineRule="auto"/>
        <w:ind w:firstLine="420"/>
        <w:rPr>
          <w:rFonts w:hint="eastAsia" w:cs="Times New Roman"/>
          <w:kern w:val="2"/>
          <w:szCs w:val="20"/>
        </w:rPr>
      </w:pPr>
      <w:r>
        <w:rPr>
          <w:rFonts w:hint="eastAsia" w:cs="Times New Roman"/>
          <w:kern w:val="2"/>
          <w:szCs w:val="20"/>
        </w:rPr>
        <w:t>初次认证审核应分为两个阶段实施：第一阶段审核和第二阶段审核。两个阶段审核时间间隔最短不应少于 5 日，最长不应超过6个月。如需要更长的时间间隔，应重新实施第一阶段审核。</w:t>
      </w:r>
    </w:p>
    <w:p w14:paraId="28577226">
      <w:pPr>
        <w:autoSpaceDE/>
        <w:autoSpaceDN/>
        <w:spacing w:line="312" w:lineRule="auto"/>
        <w:ind w:firstLine="420"/>
        <w:rPr>
          <w:rFonts w:hint="eastAsia" w:cs="Times New Roman"/>
          <w:kern w:val="2"/>
          <w:szCs w:val="20"/>
        </w:rPr>
      </w:pPr>
      <w:r>
        <w:rPr>
          <w:rFonts w:hint="eastAsia" w:cs="Times New Roman"/>
          <w:kern w:val="2"/>
          <w:szCs w:val="20"/>
        </w:rPr>
        <w:t>5.6.2 第一阶段审核</w:t>
      </w:r>
    </w:p>
    <w:p w14:paraId="3DC2F605">
      <w:pPr>
        <w:autoSpaceDE/>
        <w:autoSpaceDN/>
        <w:spacing w:line="312" w:lineRule="auto"/>
        <w:ind w:firstLine="420"/>
        <w:rPr>
          <w:rFonts w:hint="eastAsia" w:cs="Times New Roman"/>
          <w:kern w:val="2"/>
          <w:szCs w:val="20"/>
        </w:rPr>
      </w:pPr>
      <w:r>
        <w:rPr>
          <w:rFonts w:hint="eastAsia" w:cs="Times New Roman"/>
          <w:kern w:val="2"/>
          <w:szCs w:val="20"/>
        </w:rPr>
        <w:t>5.6.2.1 第一阶段审核的目的是通过了解认证委托人的CXMS和其对第二阶段的准备情况，确定其是否具备接受第二阶段审核的条件并策划第二阶段审核的关注点。第一阶段审核的内容包括但不限于以下方面：</w:t>
      </w:r>
    </w:p>
    <w:p w14:paraId="7B64EBF7">
      <w:pPr>
        <w:autoSpaceDE/>
        <w:autoSpaceDN/>
        <w:spacing w:line="312" w:lineRule="auto"/>
        <w:ind w:firstLine="420"/>
        <w:rPr>
          <w:rFonts w:hint="eastAsia" w:cs="Times New Roman"/>
          <w:kern w:val="2"/>
          <w:szCs w:val="20"/>
        </w:rPr>
      </w:pPr>
      <w:r>
        <w:rPr>
          <w:rFonts w:hint="eastAsia" w:cs="Times New Roman"/>
          <w:kern w:val="2"/>
          <w:szCs w:val="20"/>
        </w:rPr>
        <w:t>（1）了解认证委托人的情况，包括其活动、产品和服务、设施设备、工艺流程、现场运作以及适用的质量标准；</w:t>
      </w:r>
    </w:p>
    <w:p w14:paraId="69BD4DE0">
      <w:pPr>
        <w:autoSpaceDE/>
        <w:autoSpaceDN/>
        <w:spacing w:line="312" w:lineRule="auto"/>
        <w:ind w:firstLine="420"/>
        <w:rPr>
          <w:rFonts w:hint="eastAsia" w:cs="Times New Roman"/>
          <w:kern w:val="2"/>
          <w:szCs w:val="20"/>
        </w:rPr>
      </w:pPr>
      <w:r>
        <w:rPr>
          <w:rFonts w:hint="eastAsia" w:cs="Times New Roman"/>
          <w:kern w:val="2"/>
          <w:szCs w:val="20"/>
        </w:rPr>
        <w:t>（2）评审认证委托人CXMS 体系文件，确认其与认证委托人业务活动及产品和服务相吻合；</w:t>
      </w:r>
    </w:p>
    <w:p w14:paraId="1E6180FD">
      <w:pPr>
        <w:autoSpaceDE/>
        <w:autoSpaceDN/>
        <w:spacing w:line="312" w:lineRule="auto"/>
        <w:ind w:firstLine="420"/>
        <w:rPr>
          <w:rFonts w:hint="eastAsia" w:cs="Times New Roman"/>
          <w:kern w:val="2"/>
          <w:szCs w:val="20"/>
        </w:rPr>
      </w:pPr>
      <w:r>
        <w:rPr>
          <w:rFonts w:hint="eastAsia" w:cs="Times New Roman"/>
          <w:kern w:val="2"/>
          <w:szCs w:val="20"/>
        </w:rPr>
        <w:t>（3）确认认证委托人申请信息和文件资料的真实性；</w:t>
      </w:r>
    </w:p>
    <w:p w14:paraId="1D9E31FE">
      <w:pPr>
        <w:autoSpaceDE/>
        <w:autoSpaceDN/>
        <w:spacing w:line="312" w:lineRule="auto"/>
        <w:ind w:firstLine="420"/>
        <w:rPr>
          <w:rFonts w:hint="eastAsia" w:cs="Times New Roman"/>
          <w:kern w:val="2"/>
          <w:szCs w:val="20"/>
        </w:rPr>
      </w:pPr>
      <w:r>
        <w:rPr>
          <w:rFonts w:hint="eastAsia" w:cs="Times New Roman"/>
          <w:kern w:val="2"/>
          <w:szCs w:val="20"/>
        </w:rPr>
        <w:t>（4）审核认证委托人理解和实施GB/T 31950-2023《企业诚信管理体系 要求》标准的情况，特别是对CXMS关键绩效、过程和运行及CXMS目标识别情况；</w:t>
      </w:r>
    </w:p>
    <w:p w14:paraId="58F0AD12">
      <w:pPr>
        <w:autoSpaceDE/>
        <w:autoSpaceDN/>
        <w:spacing w:line="312" w:lineRule="auto"/>
        <w:ind w:firstLine="420"/>
        <w:rPr>
          <w:rFonts w:hint="eastAsia" w:cs="Times New Roman"/>
          <w:kern w:val="2"/>
          <w:szCs w:val="20"/>
        </w:rPr>
      </w:pPr>
      <w:r>
        <w:rPr>
          <w:rFonts w:hint="eastAsia" w:cs="Times New Roman"/>
          <w:kern w:val="2"/>
          <w:szCs w:val="20"/>
        </w:rPr>
        <w:t>（5）确认认证委托人是否为第二阶段审核做好准备， 已实施了内部审核和管理评审；</w:t>
      </w:r>
    </w:p>
    <w:p w14:paraId="242C768A">
      <w:pPr>
        <w:autoSpaceDE/>
        <w:autoSpaceDN/>
        <w:spacing w:line="312" w:lineRule="auto"/>
        <w:ind w:firstLine="420"/>
        <w:rPr>
          <w:rFonts w:hint="eastAsia" w:cs="Times New Roman"/>
          <w:kern w:val="2"/>
          <w:szCs w:val="20"/>
        </w:rPr>
      </w:pPr>
      <w:r>
        <w:rPr>
          <w:rFonts w:hint="eastAsia" w:cs="Times New Roman"/>
          <w:kern w:val="2"/>
          <w:szCs w:val="20"/>
        </w:rPr>
        <w:t>（6）确认认证委托人CXMS认证范围、体系覆盖范围内有效人数和场所；</w:t>
      </w:r>
    </w:p>
    <w:p w14:paraId="58CC4E4B">
      <w:pPr>
        <w:autoSpaceDE/>
        <w:autoSpaceDN/>
        <w:spacing w:line="312" w:lineRule="auto"/>
        <w:ind w:firstLine="420"/>
        <w:rPr>
          <w:rFonts w:hint="eastAsia" w:cs="Times New Roman"/>
          <w:kern w:val="2"/>
          <w:szCs w:val="20"/>
        </w:rPr>
      </w:pPr>
      <w:r>
        <w:rPr>
          <w:rFonts w:hint="eastAsia" w:cs="Times New Roman"/>
          <w:kern w:val="2"/>
          <w:szCs w:val="20"/>
        </w:rPr>
        <w:t>（7）认证委托人的产品和服务符合质量相关法律法规及强制性标准的情况。</w:t>
      </w:r>
    </w:p>
    <w:p w14:paraId="30E47BFF">
      <w:pPr>
        <w:autoSpaceDE/>
        <w:autoSpaceDN/>
        <w:spacing w:line="312" w:lineRule="auto"/>
        <w:ind w:firstLine="420"/>
        <w:rPr>
          <w:rFonts w:hint="eastAsia" w:cs="Times New Roman"/>
          <w:kern w:val="2"/>
          <w:szCs w:val="20"/>
        </w:rPr>
      </w:pPr>
      <w:r>
        <w:rPr>
          <w:rFonts w:hint="eastAsia" w:cs="Times New Roman"/>
          <w:kern w:val="2"/>
          <w:szCs w:val="20"/>
        </w:rPr>
        <w:t>5.6.2.2 为达到第一阶段审核的目的和要求，除下列情况外，第一阶段审核应在认证委托人现场实施：</w:t>
      </w:r>
    </w:p>
    <w:p w14:paraId="4875BCEE">
      <w:pPr>
        <w:autoSpaceDE/>
        <w:autoSpaceDN/>
        <w:spacing w:line="312" w:lineRule="auto"/>
        <w:ind w:firstLine="420"/>
        <w:rPr>
          <w:rFonts w:hint="eastAsia" w:cs="Times New Roman"/>
          <w:kern w:val="2"/>
          <w:szCs w:val="20"/>
        </w:rPr>
      </w:pPr>
      <w:r>
        <w:rPr>
          <w:rFonts w:hint="eastAsia" w:cs="Times New Roman"/>
          <w:kern w:val="2"/>
          <w:szCs w:val="20"/>
        </w:rPr>
        <w:t>（1）认证委托人已获本认证机构颁发的其他领域的有效认证证书，认证机构已对认证委托人CXMS有充分了解；</w:t>
      </w:r>
    </w:p>
    <w:p w14:paraId="67DDC163">
      <w:pPr>
        <w:autoSpaceDE/>
        <w:autoSpaceDN/>
        <w:spacing w:line="312" w:lineRule="auto"/>
        <w:ind w:firstLine="420"/>
        <w:rPr>
          <w:rFonts w:hint="eastAsia" w:cs="Times New Roman"/>
          <w:kern w:val="2"/>
          <w:szCs w:val="20"/>
        </w:rPr>
      </w:pPr>
      <w:r>
        <w:rPr>
          <w:rFonts w:hint="eastAsia" w:cs="Times New Roman"/>
          <w:kern w:val="2"/>
          <w:szCs w:val="20"/>
        </w:rPr>
        <w:t>（2）认证委托人获得了经认可机构认可的其他认证机构颁发的有效的CXMS认证证书，通过对其文件和资料的审核可以达到第一阶段审核的目的和要求。</w:t>
      </w:r>
    </w:p>
    <w:p w14:paraId="4150E561">
      <w:pPr>
        <w:autoSpaceDE/>
        <w:autoSpaceDN/>
        <w:spacing w:line="312" w:lineRule="auto"/>
        <w:ind w:firstLine="420"/>
        <w:rPr>
          <w:rFonts w:hint="eastAsia" w:cs="Times New Roman"/>
          <w:kern w:val="2"/>
          <w:szCs w:val="20"/>
        </w:rPr>
      </w:pPr>
      <w:r>
        <w:rPr>
          <w:rFonts w:hint="eastAsia" w:cs="Times New Roman"/>
          <w:kern w:val="2"/>
          <w:szCs w:val="20"/>
        </w:rPr>
        <w:t>认证机构应记录未在现场进行第一阶段审核的理由。</w:t>
      </w:r>
    </w:p>
    <w:p w14:paraId="577CA216">
      <w:pPr>
        <w:autoSpaceDE/>
        <w:autoSpaceDN/>
        <w:spacing w:line="312" w:lineRule="auto"/>
        <w:ind w:firstLine="420"/>
        <w:rPr>
          <w:rFonts w:hint="eastAsia" w:cs="Times New Roman"/>
          <w:kern w:val="2"/>
          <w:szCs w:val="20"/>
        </w:rPr>
      </w:pPr>
      <w:r>
        <w:rPr>
          <w:rFonts w:hint="eastAsia" w:cs="Times New Roman"/>
          <w:kern w:val="2"/>
          <w:szCs w:val="20"/>
        </w:rPr>
        <w:t>5.6.2.3 认证机构应将认证委托人是否具备第二阶段审核条件的结论书面告知认证委托人，包括所识别的需引起关注的、在第二阶段可能被判定为不符合的问题。</w:t>
      </w:r>
    </w:p>
    <w:p w14:paraId="63631CC0">
      <w:pPr>
        <w:autoSpaceDE/>
        <w:autoSpaceDN/>
        <w:spacing w:line="312" w:lineRule="auto"/>
        <w:ind w:firstLine="420"/>
        <w:rPr>
          <w:rFonts w:hint="eastAsia" w:cs="Times New Roman"/>
          <w:kern w:val="2"/>
          <w:szCs w:val="20"/>
        </w:rPr>
      </w:pPr>
      <w:r>
        <w:rPr>
          <w:rFonts w:hint="eastAsia" w:cs="Times New Roman"/>
          <w:kern w:val="2"/>
          <w:szCs w:val="20"/>
        </w:rPr>
        <w:t>5.6.2.4 认证机构通过第一阶段审核发现相关申请信息和文件资料存在虚假情况的，应终止认证活动。</w:t>
      </w:r>
    </w:p>
    <w:p w14:paraId="6C52EE21">
      <w:pPr>
        <w:autoSpaceDE/>
        <w:autoSpaceDN/>
        <w:spacing w:line="312" w:lineRule="auto"/>
        <w:ind w:firstLine="420"/>
        <w:rPr>
          <w:rFonts w:hint="eastAsia" w:cs="Times New Roman"/>
          <w:kern w:val="2"/>
          <w:szCs w:val="20"/>
        </w:rPr>
      </w:pPr>
      <w:r>
        <w:rPr>
          <w:rFonts w:hint="eastAsia" w:cs="Times New Roman"/>
          <w:kern w:val="2"/>
          <w:szCs w:val="20"/>
        </w:rPr>
        <w:t>5.6.3 第二阶段审核</w:t>
      </w:r>
    </w:p>
    <w:p w14:paraId="448655E8">
      <w:pPr>
        <w:autoSpaceDE/>
        <w:autoSpaceDN/>
        <w:spacing w:line="312" w:lineRule="auto"/>
        <w:ind w:firstLine="420"/>
        <w:rPr>
          <w:rFonts w:hint="eastAsia" w:cs="Times New Roman"/>
          <w:kern w:val="2"/>
          <w:szCs w:val="20"/>
        </w:rPr>
      </w:pPr>
      <w:r>
        <w:rPr>
          <w:rFonts w:hint="eastAsia" w:cs="Times New Roman"/>
          <w:kern w:val="2"/>
          <w:szCs w:val="20"/>
        </w:rPr>
        <w:t>5.6.3.1 第二阶段审核的目的是评价认证委托人CXMS的实施情况，包括对GB/T 31950-2023《企业诚信管理体系  要求》 标准要求的符合性和体系的有效性。</w:t>
      </w:r>
    </w:p>
    <w:p w14:paraId="709A911A">
      <w:pPr>
        <w:autoSpaceDE/>
        <w:autoSpaceDN/>
        <w:spacing w:line="312" w:lineRule="auto"/>
        <w:ind w:firstLine="420"/>
        <w:rPr>
          <w:rFonts w:hint="eastAsia" w:cs="Times New Roman"/>
          <w:kern w:val="2"/>
          <w:szCs w:val="20"/>
        </w:rPr>
      </w:pPr>
      <w:r>
        <w:rPr>
          <w:rFonts w:hint="eastAsia" w:cs="Times New Roman"/>
          <w:kern w:val="2"/>
          <w:szCs w:val="20"/>
        </w:rPr>
        <w:t>5.6.3.2 第二阶段审核应在认证委托人的现场实施，至少覆盖以下内容：</w:t>
      </w:r>
    </w:p>
    <w:p w14:paraId="74BD7AE4">
      <w:pPr>
        <w:autoSpaceDE/>
        <w:autoSpaceDN/>
        <w:spacing w:line="312" w:lineRule="auto"/>
        <w:ind w:firstLine="420"/>
        <w:rPr>
          <w:rFonts w:hint="eastAsia" w:cs="Times New Roman"/>
          <w:kern w:val="2"/>
          <w:szCs w:val="20"/>
        </w:rPr>
      </w:pPr>
      <w:r>
        <w:rPr>
          <w:rFonts w:hint="eastAsia" w:cs="Times New Roman"/>
          <w:kern w:val="2"/>
          <w:szCs w:val="20"/>
        </w:rPr>
        <w:t>（1）认证委托人CXMS与GB/T 31950-2023《企业诚信管理体系 要求》标准的符合情况及证据；</w:t>
      </w:r>
    </w:p>
    <w:p w14:paraId="24208520">
      <w:pPr>
        <w:autoSpaceDE/>
        <w:autoSpaceDN/>
        <w:spacing w:line="312" w:lineRule="auto"/>
        <w:ind w:firstLine="420"/>
        <w:rPr>
          <w:rFonts w:hint="eastAsia" w:cs="Times New Roman"/>
          <w:kern w:val="2"/>
          <w:szCs w:val="20"/>
        </w:rPr>
      </w:pPr>
      <w:r>
        <w:rPr>
          <w:rFonts w:hint="eastAsia" w:cs="Times New Roman"/>
          <w:kern w:val="2"/>
          <w:szCs w:val="20"/>
        </w:rPr>
        <w:t>（2）依据CXMS关键绩效、 目标和指标，对绩效进行的监视、测量、报告和评审；</w:t>
      </w:r>
    </w:p>
    <w:p w14:paraId="0E9FDFB0">
      <w:pPr>
        <w:autoSpaceDE/>
        <w:autoSpaceDN/>
        <w:spacing w:line="312" w:lineRule="auto"/>
        <w:ind w:firstLine="420"/>
        <w:rPr>
          <w:rFonts w:hint="eastAsia" w:cs="Times New Roman"/>
          <w:kern w:val="2"/>
          <w:szCs w:val="20"/>
        </w:rPr>
      </w:pPr>
      <w:r>
        <w:rPr>
          <w:rFonts w:hint="eastAsia" w:cs="Times New Roman"/>
          <w:kern w:val="2"/>
          <w:szCs w:val="20"/>
        </w:rPr>
        <w:t>（3）认证委托人实施CXMS的能力以及在符合适用法律法规要求方面的绩效；</w:t>
      </w:r>
    </w:p>
    <w:p w14:paraId="26552C38">
      <w:pPr>
        <w:autoSpaceDE/>
        <w:autoSpaceDN/>
        <w:spacing w:line="312" w:lineRule="auto"/>
        <w:ind w:firstLine="420"/>
        <w:rPr>
          <w:rFonts w:hint="eastAsia" w:cs="Times New Roman"/>
          <w:kern w:val="2"/>
          <w:szCs w:val="20"/>
        </w:rPr>
      </w:pPr>
      <w:r>
        <w:rPr>
          <w:rFonts w:hint="eastAsia" w:cs="Times New Roman"/>
          <w:kern w:val="2"/>
          <w:szCs w:val="20"/>
        </w:rPr>
        <w:t>（4）认证委托人质量管理过程的运作控制；</w:t>
      </w:r>
    </w:p>
    <w:p w14:paraId="2C8E2C8C">
      <w:pPr>
        <w:autoSpaceDE/>
        <w:autoSpaceDN/>
        <w:spacing w:line="312" w:lineRule="auto"/>
        <w:ind w:firstLine="420"/>
        <w:rPr>
          <w:rFonts w:hint="eastAsia" w:cs="Times New Roman"/>
          <w:kern w:val="2"/>
          <w:szCs w:val="20"/>
        </w:rPr>
      </w:pPr>
      <w:r>
        <w:rPr>
          <w:rFonts w:hint="eastAsia" w:cs="Times New Roman"/>
          <w:kern w:val="2"/>
          <w:szCs w:val="20"/>
        </w:rPr>
        <w:t>（5）认证委托人的内部审核和管理评审；</w:t>
      </w:r>
    </w:p>
    <w:p w14:paraId="654FC648">
      <w:pPr>
        <w:autoSpaceDE/>
        <w:autoSpaceDN/>
        <w:spacing w:line="312" w:lineRule="auto"/>
        <w:ind w:firstLine="420"/>
        <w:rPr>
          <w:rFonts w:hint="eastAsia" w:cs="Times New Roman"/>
          <w:kern w:val="2"/>
          <w:szCs w:val="20"/>
        </w:rPr>
      </w:pPr>
      <w:r>
        <w:rPr>
          <w:rFonts w:hint="eastAsia" w:cs="Times New Roman"/>
          <w:kern w:val="2"/>
          <w:szCs w:val="20"/>
        </w:rPr>
        <w:t>（6）针对认证委托人CXMS方针的管理职责。</w:t>
      </w:r>
    </w:p>
    <w:bookmarkEnd w:id="66"/>
    <w:p w14:paraId="4076A6AD">
      <w:pPr>
        <w:pStyle w:val="26"/>
        <w:ind w:firstLine="422"/>
        <w:rPr>
          <w:rFonts w:hint="eastAsia"/>
        </w:rPr>
      </w:pPr>
      <w:bookmarkStart w:id="67" w:name="_Toc226880938"/>
      <w:bookmarkStart w:id="68" w:name="_Toc20463"/>
      <w:r>
        <w:rPr>
          <w:rFonts w:hint="eastAsia"/>
        </w:rPr>
        <w:t>5.7  监督审核</w:t>
      </w:r>
      <w:bookmarkEnd w:id="67"/>
      <w:bookmarkEnd w:id="68"/>
    </w:p>
    <w:p w14:paraId="22E5119E">
      <w:pPr>
        <w:autoSpaceDE/>
        <w:autoSpaceDN/>
        <w:spacing w:line="312" w:lineRule="auto"/>
        <w:ind w:firstLine="420"/>
        <w:rPr>
          <w:rFonts w:hint="eastAsia" w:cs="Times New Roman"/>
          <w:kern w:val="2"/>
          <w:szCs w:val="20"/>
        </w:rPr>
      </w:pPr>
      <w:r>
        <w:rPr>
          <w:rFonts w:hint="eastAsia" w:cs="Times New Roman"/>
          <w:kern w:val="2"/>
          <w:szCs w:val="20"/>
        </w:rPr>
        <w:t>5.7.1 认证机构应对获证组织进行有效跟踪，依据审核方案对获证组织开展监督审核，并要求获证组织的最高管理者参与审核访谈，以确认获证组织CXMS与GB/T 31950-2023《企业诚信管理体系 要求》标准的持续符合性和运行的有效性。</w:t>
      </w:r>
    </w:p>
    <w:p w14:paraId="48E19AE9">
      <w:pPr>
        <w:autoSpaceDE/>
        <w:autoSpaceDN/>
        <w:spacing w:line="312" w:lineRule="auto"/>
        <w:ind w:firstLine="420"/>
        <w:rPr>
          <w:rFonts w:hint="eastAsia" w:cs="Times New Roman"/>
          <w:kern w:val="2"/>
          <w:szCs w:val="20"/>
        </w:rPr>
      </w:pPr>
      <w:r>
        <w:rPr>
          <w:rFonts w:hint="eastAsia" w:cs="Times New Roman"/>
          <w:kern w:val="2"/>
          <w:szCs w:val="20"/>
        </w:rPr>
        <w:t>5.7.2 每次监督审核应尽可能覆盖认证范围内的典型产品/服务及有代表性的生产/服务过程，并确保在认证证书有效期内的监督审核覆盖认证范围内的所有典型产品/服务、有代表性的生产/服务过程。</w:t>
      </w:r>
    </w:p>
    <w:p w14:paraId="1200C58C">
      <w:pPr>
        <w:autoSpaceDE/>
        <w:autoSpaceDN/>
        <w:spacing w:line="312" w:lineRule="auto"/>
        <w:ind w:firstLine="420"/>
        <w:rPr>
          <w:rFonts w:hint="eastAsia" w:cs="Times New Roman"/>
          <w:kern w:val="2"/>
          <w:szCs w:val="20"/>
        </w:rPr>
      </w:pPr>
      <w:r>
        <w:rPr>
          <w:rFonts w:hint="eastAsia" w:cs="Times New Roman"/>
          <w:kern w:val="2"/>
          <w:szCs w:val="20"/>
        </w:rPr>
        <w:t>5.7.3 监督审核应重点关注获证组织的变更以及CXMS绩效的持续改进，监督审核的内容至少包括：</w:t>
      </w:r>
    </w:p>
    <w:p w14:paraId="42A74AB9">
      <w:pPr>
        <w:autoSpaceDE/>
        <w:autoSpaceDN/>
        <w:spacing w:line="312" w:lineRule="auto"/>
        <w:ind w:firstLine="420"/>
        <w:rPr>
          <w:rFonts w:hint="eastAsia" w:cs="Times New Roman"/>
          <w:kern w:val="2"/>
          <w:szCs w:val="20"/>
        </w:rPr>
      </w:pPr>
      <w:r>
        <w:rPr>
          <w:rFonts w:hint="eastAsia" w:cs="Times New Roman"/>
          <w:kern w:val="2"/>
          <w:szCs w:val="20"/>
        </w:rPr>
        <w:t>（1）内部审核和管理评审；</w:t>
      </w:r>
    </w:p>
    <w:p w14:paraId="26EA8442">
      <w:pPr>
        <w:autoSpaceDE/>
        <w:autoSpaceDN/>
        <w:spacing w:line="312" w:lineRule="auto"/>
        <w:ind w:firstLine="420"/>
        <w:rPr>
          <w:rFonts w:hint="eastAsia" w:cs="Times New Roman"/>
          <w:kern w:val="2"/>
          <w:szCs w:val="20"/>
        </w:rPr>
      </w:pPr>
      <w:r>
        <w:rPr>
          <w:rFonts w:hint="eastAsia" w:cs="Times New Roman"/>
          <w:kern w:val="2"/>
          <w:szCs w:val="20"/>
        </w:rPr>
        <w:t>（2）对上次审核确定的不符合采取的纠正措施及效果；</w:t>
      </w:r>
    </w:p>
    <w:p w14:paraId="0DE0A4C8">
      <w:pPr>
        <w:autoSpaceDE/>
        <w:autoSpaceDN/>
        <w:spacing w:line="312" w:lineRule="auto"/>
        <w:ind w:firstLine="420"/>
        <w:rPr>
          <w:rFonts w:hint="eastAsia" w:cs="Times New Roman"/>
          <w:kern w:val="2"/>
          <w:szCs w:val="20"/>
        </w:rPr>
      </w:pPr>
      <w:r>
        <w:rPr>
          <w:rFonts w:hint="eastAsia" w:cs="Times New Roman"/>
          <w:kern w:val="2"/>
          <w:szCs w:val="20"/>
        </w:rPr>
        <w:t>（3）CXMS在实现获证组织目标和CXMS预期结果方面的有效性；</w:t>
      </w:r>
    </w:p>
    <w:p w14:paraId="7E1E4719">
      <w:pPr>
        <w:autoSpaceDE/>
        <w:autoSpaceDN/>
        <w:spacing w:line="312" w:lineRule="auto"/>
        <w:ind w:firstLine="420"/>
        <w:rPr>
          <w:rFonts w:hint="eastAsia" w:cs="Times New Roman"/>
          <w:kern w:val="2"/>
          <w:szCs w:val="20"/>
        </w:rPr>
      </w:pPr>
      <w:r>
        <w:rPr>
          <w:rFonts w:hint="eastAsia" w:cs="Times New Roman"/>
          <w:kern w:val="2"/>
          <w:szCs w:val="20"/>
        </w:rPr>
        <w:t>（4）为持续改进而策划的活动的进展；</w:t>
      </w:r>
    </w:p>
    <w:p w14:paraId="6A9A7DFE">
      <w:pPr>
        <w:autoSpaceDE/>
        <w:autoSpaceDN/>
        <w:spacing w:line="312" w:lineRule="auto"/>
        <w:ind w:firstLine="420"/>
        <w:rPr>
          <w:rFonts w:hint="eastAsia" w:cs="Times New Roman"/>
          <w:kern w:val="2"/>
          <w:szCs w:val="20"/>
        </w:rPr>
      </w:pPr>
      <w:r>
        <w:rPr>
          <w:rFonts w:hint="eastAsia" w:cs="Times New Roman"/>
          <w:kern w:val="2"/>
          <w:szCs w:val="20"/>
        </w:rPr>
        <w:t>（5）持续的运作控制；</w:t>
      </w:r>
    </w:p>
    <w:p w14:paraId="43E0797A">
      <w:pPr>
        <w:autoSpaceDE/>
        <w:autoSpaceDN/>
        <w:spacing w:line="312" w:lineRule="auto"/>
        <w:ind w:firstLine="420"/>
        <w:rPr>
          <w:rFonts w:hint="eastAsia" w:cs="Times New Roman"/>
          <w:kern w:val="2"/>
          <w:szCs w:val="20"/>
        </w:rPr>
      </w:pPr>
      <w:r>
        <w:rPr>
          <w:rFonts w:hint="eastAsia" w:cs="Times New Roman"/>
          <w:kern w:val="2"/>
          <w:szCs w:val="20"/>
        </w:rPr>
        <w:t>（6）任何变更；</w:t>
      </w:r>
    </w:p>
    <w:p w14:paraId="15A10EFF">
      <w:pPr>
        <w:autoSpaceDE/>
        <w:autoSpaceDN/>
        <w:spacing w:line="312" w:lineRule="auto"/>
        <w:ind w:firstLine="420"/>
        <w:rPr>
          <w:rFonts w:hint="eastAsia" w:cs="Times New Roman"/>
          <w:kern w:val="2"/>
          <w:szCs w:val="20"/>
        </w:rPr>
      </w:pPr>
      <w:r>
        <w:rPr>
          <w:rFonts w:hint="eastAsia" w:cs="Times New Roman"/>
          <w:kern w:val="2"/>
          <w:szCs w:val="20"/>
        </w:rPr>
        <w:t>（7）认证证书、认证标志的使用和（或）任何其他对认证信息的引用；</w:t>
      </w:r>
    </w:p>
    <w:p w14:paraId="5EC8FFA9">
      <w:pPr>
        <w:autoSpaceDE/>
        <w:autoSpaceDN/>
        <w:spacing w:line="312" w:lineRule="auto"/>
        <w:ind w:firstLine="420"/>
        <w:rPr>
          <w:rFonts w:hint="eastAsia" w:cs="Times New Roman"/>
          <w:kern w:val="2"/>
          <w:szCs w:val="20"/>
        </w:rPr>
      </w:pPr>
      <w:r>
        <w:rPr>
          <w:rFonts w:hint="eastAsia" w:cs="Times New Roman"/>
          <w:kern w:val="2"/>
          <w:szCs w:val="20"/>
        </w:rPr>
        <w:t>（8）CXMS相关投诉的处理；</w:t>
      </w:r>
    </w:p>
    <w:p w14:paraId="6004EAFB">
      <w:pPr>
        <w:autoSpaceDE/>
        <w:autoSpaceDN/>
        <w:spacing w:line="312" w:lineRule="auto"/>
        <w:ind w:firstLine="420"/>
        <w:rPr>
          <w:rFonts w:hint="eastAsia" w:cs="Times New Roman"/>
          <w:kern w:val="2"/>
          <w:szCs w:val="20"/>
        </w:rPr>
      </w:pPr>
      <w:r>
        <w:rPr>
          <w:rFonts w:hint="eastAsia" w:cs="Times New Roman"/>
          <w:kern w:val="2"/>
          <w:szCs w:val="20"/>
        </w:rPr>
        <w:t>（9）上次审核后发生的质量事故的调查与处理。</w:t>
      </w:r>
    </w:p>
    <w:p w14:paraId="37B7914D">
      <w:pPr>
        <w:autoSpaceDE/>
        <w:autoSpaceDN/>
        <w:spacing w:line="312" w:lineRule="auto"/>
        <w:ind w:firstLine="420"/>
        <w:rPr>
          <w:rFonts w:hint="eastAsia" w:cs="Times New Roman"/>
          <w:kern w:val="2"/>
          <w:szCs w:val="20"/>
        </w:rPr>
      </w:pPr>
      <w:r>
        <w:rPr>
          <w:rFonts w:hint="eastAsia" w:cs="Times New Roman"/>
          <w:kern w:val="2"/>
          <w:szCs w:val="20"/>
        </w:rPr>
        <w:t>5.7.4 监督审核的时间应根据获证组织当前有效人数和CXMS风险类型确定，不少于依据附录 B 所确定的初次认证审核时间的1/3。</w:t>
      </w:r>
    </w:p>
    <w:p w14:paraId="184E02F4">
      <w:pPr>
        <w:pStyle w:val="26"/>
        <w:ind w:firstLine="422"/>
        <w:rPr>
          <w:rFonts w:hint="eastAsia"/>
        </w:rPr>
      </w:pPr>
      <w:bookmarkStart w:id="69" w:name="_Toc226880939"/>
      <w:bookmarkStart w:id="70" w:name="_Toc18794"/>
      <w:r>
        <w:rPr>
          <w:rFonts w:hint="eastAsia"/>
        </w:rPr>
        <w:t>5.8  再认证审核</w:t>
      </w:r>
      <w:bookmarkEnd w:id="69"/>
      <w:bookmarkEnd w:id="70"/>
    </w:p>
    <w:p w14:paraId="03D4052A">
      <w:pPr>
        <w:autoSpaceDE/>
        <w:autoSpaceDN/>
        <w:spacing w:line="312" w:lineRule="auto"/>
        <w:ind w:firstLine="420"/>
        <w:rPr>
          <w:rFonts w:hint="eastAsia" w:cs="Times New Roman"/>
          <w:kern w:val="2"/>
          <w:szCs w:val="20"/>
        </w:rPr>
      </w:pPr>
      <w:r>
        <w:rPr>
          <w:rFonts w:hint="eastAsia" w:cs="Times New Roman"/>
          <w:kern w:val="2"/>
          <w:szCs w:val="20"/>
        </w:rPr>
        <w:t>5.8.1 认证证书期满前，获证组织申请继续持有认证证书的，认证机构应依据审核方案实施再认证审核， 以判断获证组织的CXMS 作为一个整体与GB/T 31950-2023《企业诚信管理体系  要求》持续符合性和运行的有效性。</w:t>
      </w:r>
    </w:p>
    <w:p w14:paraId="77D6CA69">
      <w:pPr>
        <w:autoSpaceDE/>
        <w:autoSpaceDN/>
        <w:spacing w:line="312" w:lineRule="auto"/>
        <w:ind w:firstLine="420"/>
        <w:rPr>
          <w:rFonts w:hint="eastAsia" w:cs="Times New Roman"/>
          <w:kern w:val="2"/>
          <w:szCs w:val="20"/>
        </w:rPr>
      </w:pPr>
      <w:r>
        <w:rPr>
          <w:rFonts w:hint="eastAsia" w:cs="Times New Roman"/>
          <w:kern w:val="2"/>
          <w:szCs w:val="20"/>
        </w:rPr>
        <w:t>5.8.2 再认证审核应在获证组织现场进行，并应在认证证书到期前完成。再认证审核的内容至少应包括：</w:t>
      </w:r>
    </w:p>
    <w:p w14:paraId="06201A28">
      <w:pPr>
        <w:autoSpaceDE/>
        <w:autoSpaceDN/>
        <w:spacing w:line="312" w:lineRule="auto"/>
        <w:ind w:firstLine="420"/>
        <w:rPr>
          <w:rFonts w:hint="eastAsia" w:cs="Times New Roman"/>
          <w:kern w:val="2"/>
          <w:szCs w:val="20"/>
        </w:rPr>
      </w:pPr>
      <w:r>
        <w:rPr>
          <w:rFonts w:hint="eastAsia" w:cs="Times New Roman"/>
          <w:kern w:val="2"/>
          <w:szCs w:val="20"/>
        </w:rPr>
        <w:t>（1）结合其内部环境和外部环境的变化情况，确认获证组织CXMS有效性及认证范围的持续相关性和适宜性；</w:t>
      </w:r>
    </w:p>
    <w:p w14:paraId="18981553">
      <w:pPr>
        <w:autoSpaceDE/>
        <w:autoSpaceDN/>
        <w:spacing w:line="312" w:lineRule="auto"/>
        <w:ind w:firstLine="420"/>
        <w:rPr>
          <w:rFonts w:hint="eastAsia" w:cs="Times New Roman"/>
          <w:kern w:val="2"/>
          <w:szCs w:val="20"/>
        </w:rPr>
      </w:pPr>
      <w:r>
        <w:rPr>
          <w:rFonts w:hint="eastAsia" w:cs="Times New Roman"/>
          <w:kern w:val="2"/>
          <w:szCs w:val="20"/>
        </w:rPr>
        <w:t>（2）CXMS绩效持续改进的证实；</w:t>
      </w:r>
    </w:p>
    <w:p w14:paraId="1D76CBC0">
      <w:pPr>
        <w:autoSpaceDE/>
        <w:autoSpaceDN/>
        <w:spacing w:line="312" w:lineRule="auto"/>
        <w:ind w:firstLine="420"/>
        <w:rPr>
          <w:rFonts w:hint="eastAsia" w:cs="Times New Roman"/>
          <w:kern w:val="2"/>
          <w:szCs w:val="20"/>
        </w:rPr>
      </w:pPr>
      <w:r>
        <w:rPr>
          <w:rFonts w:hint="eastAsia" w:cs="Times New Roman"/>
          <w:kern w:val="2"/>
          <w:szCs w:val="20"/>
        </w:rPr>
        <w:t>（3）CXMS在实现获证组织目标和CXMS预期结果方面的有效性。</w:t>
      </w:r>
    </w:p>
    <w:p w14:paraId="717339DF">
      <w:pPr>
        <w:autoSpaceDE/>
        <w:autoSpaceDN/>
        <w:spacing w:line="312" w:lineRule="auto"/>
        <w:ind w:firstLine="420"/>
        <w:rPr>
          <w:rFonts w:hint="eastAsia" w:cs="Times New Roman"/>
          <w:kern w:val="2"/>
          <w:szCs w:val="20"/>
        </w:rPr>
      </w:pPr>
      <w:r>
        <w:rPr>
          <w:rFonts w:hint="eastAsia" w:cs="Times New Roman"/>
          <w:kern w:val="2"/>
          <w:szCs w:val="20"/>
        </w:rPr>
        <w:t>5.8.3 再认证审核策划时应考虑获证组织最近一个认证周期内的CXMS绩效，包括调阅以往的监督审核报告。</w:t>
      </w:r>
    </w:p>
    <w:p w14:paraId="6C8017E5">
      <w:pPr>
        <w:autoSpaceDE/>
        <w:autoSpaceDN/>
        <w:spacing w:line="312" w:lineRule="auto"/>
        <w:ind w:firstLine="420"/>
        <w:rPr>
          <w:rFonts w:hint="eastAsia" w:cs="Times New Roman"/>
          <w:kern w:val="2"/>
          <w:szCs w:val="20"/>
        </w:rPr>
      </w:pPr>
      <w:r>
        <w:rPr>
          <w:rFonts w:hint="eastAsia" w:cs="Times New Roman"/>
          <w:kern w:val="2"/>
          <w:szCs w:val="20"/>
        </w:rPr>
        <w:t>5.8.4 再认证审核的审核时间应按 5.4.2 的要求，根据获证组织当前有效人数和 CXMS风险类型情况来确定，不少于依据附录B 所确定的初次认证审核时间的 2/3。</w:t>
      </w:r>
    </w:p>
    <w:p w14:paraId="09219E03">
      <w:pPr>
        <w:pStyle w:val="26"/>
        <w:ind w:firstLine="422"/>
        <w:rPr>
          <w:rFonts w:hint="eastAsia"/>
        </w:rPr>
      </w:pPr>
      <w:bookmarkStart w:id="71" w:name="_Toc6307"/>
      <w:bookmarkStart w:id="72" w:name="_Toc226880940"/>
      <w:r>
        <w:rPr>
          <w:rFonts w:hint="eastAsia"/>
        </w:rPr>
        <w:t>5.9  特殊审核</w:t>
      </w:r>
      <w:bookmarkEnd w:id="71"/>
      <w:bookmarkEnd w:id="72"/>
    </w:p>
    <w:p w14:paraId="69B78944">
      <w:pPr>
        <w:autoSpaceDE/>
        <w:autoSpaceDN/>
        <w:spacing w:line="312" w:lineRule="auto"/>
        <w:ind w:firstLine="420"/>
        <w:rPr>
          <w:rFonts w:hint="eastAsia" w:cs="Times New Roman"/>
          <w:kern w:val="2"/>
          <w:szCs w:val="20"/>
        </w:rPr>
      </w:pPr>
      <w:r>
        <w:rPr>
          <w:rFonts w:hint="eastAsia" w:cs="Times New Roman"/>
          <w:kern w:val="2"/>
          <w:szCs w:val="20"/>
        </w:rPr>
        <w:t>5.9.1 扩大认证范围</w:t>
      </w:r>
    </w:p>
    <w:p w14:paraId="4119EE0A">
      <w:pPr>
        <w:autoSpaceDE/>
        <w:autoSpaceDN/>
        <w:spacing w:line="312" w:lineRule="auto"/>
        <w:ind w:firstLine="420"/>
        <w:rPr>
          <w:rFonts w:hint="eastAsia" w:cs="Times New Roman"/>
          <w:kern w:val="2"/>
          <w:szCs w:val="20"/>
        </w:rPr>
      </w:pPr>
      <w:r>
        <w:rPr>
          <w:rFonts w:hint="eastAsia" w:cs="Times New Roman"/>
          <w:kern w:val="2"/>
          <w:szCs w:val="20"/>
        </w:rPr>
        <w:t>对于已授予的认证，认证机构应对扩大认证范围的申请进行评审，并确定任何必要的审核活动，以做出是否可予扩大的决定。这类审核活动可以结合监督审核同时进行。</w:t>
      </w:r>
    </w:p>
    <w:p w14:paraId="1ACDC489">
      <w:pPr>
        <w:autoSpaceDE/>
        <w:autoSpaceDN/>
        <w:spacing w:line="312" w:lineRule="auto"/>
        <w:ind w:firstLine="420"/>
        <w:rPr>
          <w:rFonts w:hint="eastAsia" w:cs="Times New Roman"/>
          <w:kern w:val="2"/>
          <w:szCs w:val="20"/>
        </w:rPr>
      </w:pPr>
      <w:r>
        <w:rPr>
          <w:rFonts w:hint="eastAsia" w:cs="Times New Roman"/>
          <w:kern w:val="2"/>
          <w:szCs w:val="20"/>
        </w:rPr>
        <w:t>5.9.2 提前较短时间通知的审核</w:t>
      </w:r>
    </w:p>
    <w:p w14:paraId="62F97982">
      <w:pPr>
        <w:autoSpaceDE/>
        <w:autoSpaceDN/>
        <w:spacing w:line="312" w:lineRule="auto"/>
        <w:ind w:firstLine="420"/>
        <w:rPr>
          <w:rFonts w:hint="eastAsia" w:cs="Times New Roman"/>
          <w:kern w:val="2"/>
          <w:szCs w:val="20"/>
        </w:rPr>
      </w:pPr>
      <w:r>
        <w:rPr>
          <w:rFonts w:hint="eastAsia" w:cs="Times New Roman"/>
          <w:kern w:val="2"/>
          <w:szCs w:val="20"/>
        </w:rPr>
        <w:t>为调查投诉、质量事故，对变更做出回应或对被暂停的客户进行追踪，可能需要在提前较短时间或不通知获证组织的情况下进行审核，此时：</w:t>
      </w:r>
    </w:p>
    <w:p w14:paraId="17B763D8">
      <w:pPr>
        <w:autoSpaceDE/>
        <w:autoSpaceDN/>
        <w:spacing w:line="312" w:lineRule="auto"/>
        <w:ind w:firstLine="420"/>
        <w:rPr>
          <w:rFonts w:hint="eastAsia" w:cs="Times New Roman"/>
          <w:kern w:val="2"/>
          <w:szCs w:val="20"/>
        </w:rPr>
      </w:pPr>
      <w:r>
        <w:rPr>
          <w:rFonts w:hint="eastAsia" w:cs="Times New Roman"/>
          <w:kern w:val="2"/>
          <w:szCs w:val="20"/>
        </w:rPr>
        <w:t>（1）认证机构应说明并使获证组织提前了解将在何种条件下进行此类审核；</w:t>
      </w:r>
    </w:p>
    <w:p w14:paraId="717E135B">
      <w:pPr>
        <w:autoSpaceDE/>
        <w:autoSpaceDN/>
        <w:spacing w:line="312" w:lineRule="auto"/>
        <w:ind w:firstLine="420"/>
        <w:rPr>
          <w:rFonts w:hint="eastAsia" w:cs="Times New Roman"/>
          <w:kern w:val="2"/>
          <w:szCs w:val="20"/>
        </w:rPr>
      </w:pPr>
      <w:r>
        <w:rPr>
          <w:rFonts w:hint="eastAsia" w:cs="Times New Roman"/>
          <w:kern w:val="2"/>
          <w:szCs w:val="20"/>
        </w:rPr>
        <w:t>（2）由于获证组织缺乏对审核组成员的任命表示反对的机会，认证机构应在指派审核组时给予更多的关注。</w:t>
      </w:r>
    </w:p>
    <w:p w14:paraId="0CB98B9D">
      <w:pPr>
        <w:autoSpaceDE/>
        <w:autoSpaceDN/>
        <w:spacing w:line="312" w:lineRule="auto"/>
        <w:ind w:firstLine="420"/>
        <w:rPr>
          <w:rFonts w:cs="Times New Roman"/>
        </w:rPr>
      </w:pPr>
      <w:r>
        <w:rPr>
          <w:rFonts w:hint="eastAsia" w:cs="Times New Roman"/>
          <w:kern w:val="2"/>
          <w:szCs w:val="20"/>
        </w:rPr>
        <w:t>5.9.3 获证组织认证范围内的产品在产品质量国家监督抽查中被查出不合格时， 自市场监管部门发出通报起 30 日 内，认证机构应对该组织实施提前较短时间通知的审核。</w:t>
      </w:r>
    </w:p>
    <w:p w14:paraId="452DBBC2">
      <w:pPr>
        <w:pStyle w:val="26"/>
        <w:ind w:firstLine="422"/>
        <w:rPr>
          <w:rFonts w:hint="eastAsia"/>
        </w:rPr>
      </w:pPr>
      <w:bookmarkStart w:id="73" w:name="_Toc226880941"/>
      <w:bookmarkStart w:id="74" w:name="_Toc23591"/>
      <w:bookmarkStart w:id="75" w:name="_Toc205390521"/>
      <w:bookmarkStart w:id="76" w:name="_Toc24482"/>
      <w:bookmarkStart w:id="77" w:name="_Toc200875071"/>
      <w:bookmarkStart w:id="78" w:name="_Toc24456"/>
      <w:bookmarkStart w:id="79" w:name="_Toc200873908"/>
      <w:bookmarkStart w:id="80" w:name="_Toc200873942"/>
      <w:r>
        <w:rPr>
          <w:rFonts w:hint="eastAsia"/>
        </w:rPr>
        <w:t>5.10  不符合项及其验证</w:t>
      </w:r>
      <w:bookmarkEnd w:id="73"/>
      <w:bookmarkEnd w:id="74"/>
    </w:p>
    <w:p w14:paraId="0688E463">
      <w:pPr>
        <w:autoSpaceDE/>
        <w:autoSpaceDN/>
        <w:spacing w:line="312" w:lineRule="auto"/>
        <w:ind w:firstLine="420"/>
        <w:rPr>
          <w:rFonts w:hint="eastAsia" w:cs="Times New Roman"/>
          <w:kern w:val="2"/>
          <w:szCs w:val="20"/>
        </w:rPr>
      </w:pPr>
      <w:r>
        <w:rPr>
          <w:rFonts w:hint="eastAsia" w:cs="Times New Roman"/>
          <w:kern w:val="2"/>
          <w:szCs w:val="20"/>
        </w:rPr>
        <w:t>5.10.1 对审核中发现的不符合，认证机构应要求认证委托人在规定的时限内进行原因分析，采取相应的纠正措施。</w:t>
      </w:r>
    </w:p>
    <w:p w14:paraId="4CAE5473">
      <w:pPr>
        <w:autoSpaceDE/>
        <w:autoSpaceDN/>
        <w:spacing w:line="312" w:lineRule="auto"/>
        <w:ind w:firstLine="420"/>
        <w:rPr>
          <w:rFonts w:hint="eastAsia" w:cs="Times New Roman"/>
          <w:kern w:val="2"/>
          <w:szCs w:val="20"/>
        </w:rPr>
      </w:pPr>
      <w:r>
        <w:rPr>
          <w:rFonts w:hint="eastAsia" w:cs="Times New Roman"/>
          <w:kern w:val="2"/>
          <w:szCs w:val="20"/>
        </w:rPr>
        <w:t>5.10.2 认证机构应对认证委托人所采取的纠正措施的有效性进行验证。认证委托人可以针对轻微不符合制定纠正措施计划，由认证机构在下次审核时验证。</w:t>
      </w:r>
    </w:p>
    <w:p w14:paraId="56EA993E">
      <w:pPr>
        <w:autoSpaceDE/>
        <w:autoSpaceDN/>
        <w:spacing w:line="312" w:lineRule="auto"/>
        <w:ind w:firstLine="420"/>
        <w:rPr>
          <w:rFonts w:hint="eastAsia" w:cs="Times New Roman"/>
          <w:kern w:val="2"/>
          <w:szCs w:val="20"/>
        </w:rPr>
      </w:pPr>
      <w:r>
        <w:rPr>
          <w:rFonts w:hint="eastAsia" w:cs="Times New Roman"/>
          <w:kern w:val="2"/>
          <w:szCs w:val="20"/>
        </w:rPr>
        <w:t>5.10.3 严重不符合的验证时限应满足以下要求：</w:t>
      </w:r>
    </w:p>
    <w:p w14:paraId="0105B4B9">
      <w:pPr>
        <w:autoSpaceDE/>
        <w:autoSpaceDN/>
        <w:spacing w:line="312" w:lineRule="auto"/>
        <w:ind w:firstLine="420"/>
        <w:rPr>
          <w:rFonts w:hint="eastAsia" w:cs="Times New Roman"/>
          <w:kern w:val="2"/>
          <w:szCs w:val="20"/>
        </w:rPr>
      </w:pPr>
      <w:r>
        <w:rPr>
          <w:rFonts w:hint="eastAsia" w:cs="Times New Roman"/>
          <w:kern w:val="2"/>
          <w:szCs w:val="20"/>
        </w:rPr>
        <w:t>（1）初次认证：在第二阶段审核结束之日起 6个月内完成；</w:t>
      </w:r>
    </w:p>
    <w:p w14:paraId="52F2BE79">
      <w:pPr>
        <w:autoSpaceDE/>
        <w:autoSpaceDN/>
        <w:spacing w:line="312" w:lineRule="auto"/>
        <w:ind w:firstLine="420"/>
        <w:rPr>
          <w:rFonts w:hint="eastAsia" w:cs="Times New Roman"/>
          <w:kern w:val="2"/>
          <w:szCs w:val="20"/>
        </w:rPr>
      </w:pPr>
      <w:r>
        <w:rPr>
          <w:rFonts w:hint="eastAsia" w:cs="Times New Roman"/>
          <w:kern w:val="2"/>
          <w:szCs w:val="20"/>
        </w:rPr>
        <w:t>（2）监督审核：在审核结束之日起 3个月内完成；</w:t>
      </w:r>
    </w:p>
    <w:p w14:paraId="45821AAC">
      <w:pPr>
        <w:autoSpaceDE/>
        <w:autoSpaceDN/>
        <w:spacing w:line="312" w:lineRule="auto"/>
        <w:ind w:firstLine="420"/>
        <w:rPr>
          <w:rFonts w:hint="eastAsia" w:cs="Times New Roman"/>
          <w:kern w:val="2"/>
          <w:szCs w:val="20"/>
        </w:rPr>
      </w:pPr>
      <w:r>
        <w:rPr>
          <w:rFonts w:hint="eastAsia" w:cs="Times New Roman"/>
          <w:kern w:val="2"/>
          <w:szCs w:val="20"/>
        </w:rPr>
        <w:t>（3）再认证：在原认证证书到期前完成。</w:t>
      </w:r>
    </w:p>
    <w:p w14:paraId="2B462150">
      <w:pPr>
        <w:autoSpaceDE/>
        <w:autoSpaceDN/>
        <w:spacing w:line="312" w:lineRule="auto"/>
        <w:ind w:firstLine="420"/>
        <w:rPr>
          <w:rFonts w:hint="eastAsia" w:cs="Times New Roman"/>
          <w:kern w:val="2"/>
          <w:szCs w:val="20"/>
        </w:rPr>
      </w:pPr>
      <w:r>
        <w:rPr>
          <w:rFonts w:hint="eastAsia" w:cs="Times New Roman"/>
          <w:kern w:val="2"/>
          <w:szCs w:val="20"/>
        </w:rPr>
        <w:t>5.10.4 对于认证委托人未能在规定的时限内完成对不符合所采取措施的情况，认证机构不应做出授予认证、保持认证或更新认证的决定。</w:t>
      </w:r>
    </w:p>
    <w:bookmarkEnd w:id="75"/>
    <w:bookmarkEnd w:id="76"/>
    <w:bookmarkEnd w:id="77"/>
    <w:bookmarkEnd w:id="78"/>
    <w:bookmarkEnd w:id="79"/>
    <w:bookmarkEnd w:id="80"/>
    <w:p w14:paraId="3C78B1F6">
      <w:pPr>
        <w:pStyle w:val="26"/>
        <w:ind w:firstLine="422"/>
        <w:rPr>
          <w:rFonts w:hint="eastAsia"/>
        </w:rPr>
      </w:pPr>
      <w:bookmarkStart w:id="81" w:name="_Toc4482"/>
      <w:bookmarkStart w:id="82" w:name="_Toc226880942"/>
      <w:bookmarkStart w:id="83" w:name="_Toc200873910"/>
      <w:r>
        <w:rPr>
          <w:rFonts w:hint="eastAsia"/>
        </w:rPr>
        <w:t>5.11  审核报告</w:t>
      </w:r>
      <w:bookmarkEnd w:id="81"/>
      <w:bookmarkEnd w:id="82"/>
    </w:p>
    <w:p w14:paraId="7D4FF12C">
      <w:pPr>
        <w:autoSpaceDE/>
        <w:autoSpaceDN/>
        <w:spacing w:line="312" w:lineRule="auto"/>
        <w:ind w:firstLine="420"/>
        <w:rPr>
          <w:rFonts w:hint="eastAsia" w:cs="Times New Roman"/>
          <w:kern w:val="2"/>
          <w:szCs w:val="20"/>
        </w:rPr>
      </w:pPr>
      <w:r>
        <w:rPr>
          <w:rFonts w:hint="eastAsia" w:cs="Times New Roman"/>
          <w:kern w:val="2"/>
          <w:szCs w:val="20"/>
        </w:rPr>
        <w:t>5.11.1 认证机构应就每次审核向认证委托人提供书面的审核报告。审核组长应对审核报告的内容负责。</w:t>
      </w:r>
    </w:p>
    <w:p w14:paraId="7EE417C5">
      <w:pPr>
        <w:autoSpaceDE/>
        <w:autoSpaceDN/>
        <w:spacing w:line="312" w:lineRule="auto"/>
        <w:ind w:firstLine="420"/>
        <w:rPr>
          <w:rFonts w:hint="eastAsia" w:cs="Times New Roman"/>
          <w:kern w:val="2"/>
          <w:szCs w:val="20"/>
        </w:rPr>
      </w:pPr>
      <w:r>
        <w:rPr>
          <w:rFonts w:hint="eastAsia" w:cs="Times New Roman"/>
          <w:kern w:val="2"/>
          <w:szCs w:val="20"/>
        </w:rPr>
        <w:t>5.11.2 审核报告的内容应准确、简明和清晰，反映认证委托人CXMS的真实状况，描述对照GB/T 31950-2023《企业诚信管理体系 要求》标准的符合性和有效性的客观证据信息，及对认证结论的推荐意见。</w:t>
      </w:r>
    </w:p>
    <w:p w14:paraId="0F70EB43">
      <w:pPr>
        <w:autoSpaceDE/>
        <w:autoSpaceDN/>
        <w:spacing w:line="312" w:lineRule="auto"/>
        <w:ind w:firstLine="420"/>
        <w:rPr>
          <w:rFonts w:hint="eastAsia" w:cs="Times New Roman"/>
          <w:kern w:val="2"/>
          <w:szCs w:val="20"/>
        </w:rPr>
      </w:pPr>
      <w:r>
        <w:rPr>
          <w:rFonts w:hint="eastAsia" w:cs="Times New Roman"/>
          <w:kern w:val="2"/>
          <w:szCs w:val="20"/>
        </w:rPr>
        <w:t>5.11.3 审核报告至少应包括或引用以下内容：</w:t>
      </w:r>
    </w:p>
    <w:p w14:paraId="79FE2534">
      <w:pPr>
        <w:autoSpaceDE/>
        <w:autoSpaceDN/>
        <w:spacing w:line="312" w:lineRule="auto"/>
        <w:ind w:firstLine="420"/>
        <w:rPr>
          <w:rFonts w:hint="eastAsia" w:cs="Times New Roman"/>
          <w:kern w:val="2"/>
          <w:szCs w:val="20"/>
        </w:rPr>
      </w:pPr>
      <w:r>
        <w:rPr>
          <w:rFonts w:hint="eastAsia" w:cs="Times New Roman"/>
          <w:kern w:val="2"/>
          <w:szCs w:val="20"/>
        </w:rPr>
        <w:t>（1）认证机构名称；</w:t>
      </w:r>
    </w:p>
    <w:p w14:paraId="25E6411D">
      <w:pPr>
        <w:autoSpaceDE/>
        <w:autoSpaceDN/>
        <w:spacing w:line="312" w:lineRule="auto"/>
        <w:ind w:firstLine="420"/>
        <w:rPr>
          <w:rFonts w:hint="eastAsia" w:cs="Times New Roman"/>
          <w:kern w:val="2"/>
          <w:szCs w:val="20"/>
        </w:rPr>
      </w:pPr>
      <w:r>
        <w:rPr>
          <w:rFonts w:hint="eastAsia" w:cs="Times New Roman"/>
          <w:kern w:val="2"/>
          <w:szCs w:val="20"/>
        </w:rPr>
        <w:t>（2）认证委托人的名称和地址及其代表；</w:t>
      </w:r>
    </w:p>
    <w:p w14:paraId="0D5CCDE1">
      <w:pPr>
        <w:autoSpaceDE/>
        <w:autoSpaceDN/>
        <w:spacing w:line="312" w:lineRule="auto"/>
        <w:ind w:firstLine="420"/>
        <w:rPr>
          <w:rFonts w:hint="eastAsia" w:cs="Times New Roman"/>
          <w:kern w:val="2"/>
          <w:szCs w:val="20"/>
        </w:rPr>
      </w:pPr>
      <w:r>
        <w:rPr>
          <w:rFonts w:hint="eastAsia" w:cs="Times New Roman"/>
          <w:kern w:val="2"/>
          <w:szCs w:val="20"/>
        </w:rPr>
        <w:t>（3）审核类型（如，初次认证、监督、再认证或其他类型）；</w:t>
      </w:r>
    </w:p>
    <w:p w14:paraId="3C52EA22">
      <w:pPr>
        <w:autoSpaceDE/>
        <w:autoSpaceDN/>
        <w:spacing w:line="312" w:lineRule="auto"/>
        <w:ind w:firstLine="420"/>
        <w:rPr>
          <w:rFonts w:hint="eastAsia" w:cs="Times New Roman"/>
          <w:kern w:val="2"/>
          <w:szCs w:val="20"/>
        </w:rPr>
      </w:pPr>
      <w:r>
        <w:rPr>
          <w:rFonts w:hint="eastAsia" w:cs="Times New Roman"/>
          <w:kern w:val="2"/>
          <w:szCs w:val="20"/>
        </w:rPr>
        <w:t>（4）结合、联合或一体化审核情况（适用时）；</w:t>
      </w:r>
    </w:p>
    <w:p w14:paraId="53ECF96F">
      <w:pPr>
        <w:autoSpaceDE/>
        <w:autoSpaceDN/>
        <w:spacing w:line="312" w:lineRule="auto"/>
        <w:ind w:firstLine="420"/>
        <w:rPr>
          <w:rFonts w:hint="eastAsia" w:cs="Times New Roman"/>
          <w:kern w:val="2"/>
          <w:szCs w:val="20"/>
        </w:rPr>
      </w:pPr>
      <w:r>
        <w:rPr>
          <w:rFonts w:hint="eastAsia" w:cs="Times New Roman"/>
          <w:kern w:val="2"/>
          <w:szCs w:val="20"/>
        </w:rPr>
        <w:t>（5）审核准则；</w:t>
      </w:r>
    </w:p>
    <w:p w14:paraId="452A046B">
      <w:pPr>
        <w:autoSpaceDE/>
        <w:autoSpaceDN/>
        <w:spacing w:line="312" w:lineRule="auto"/>
        <w:ind w:firstLine="420"/>
        <w:rPr>
          <w:rFonts w:hint="eastAsia" w:cs="Times New Roman"/>
          <w:kern w:val="2"/>
          <w:szCs w:val="20"/>
        </w:rPr>
      </w:pPr>
      <w:r>
        <w:rPr>
          <w:rFonts w:hint="eastAsia" w:cs="Times New Roman"/>
          <w:kern w:val="2"/>
          <w:szCs w:val="20"/>
        </w:rPr>
        <w:t>（6）审核目的及其是否达到的确认；</w:t>
      </w:r>
    </w:p>
    <w:p w14:paraId="77F868B1">
      <w:pPr>
        <w:autoSpaceDE/>
        <w:autoSpaceDN/>
        <w:spacing w:line="312" w:lineRule="auto"/>
        <w:ind w:firstLine="420"/>
        <w:rPr>
          <w:rFonts w:hint="eastAsia" w:cs="Times New Roman"/>
          <w:kern w:val="2"/>
          <w:szCs w:val="20"/>
        </w:rPr>
      </w:pPr>
      <w:r>
        <w:rPr>
          <w:rFonts w:hint="eastAsia" w:cs="Times New Roman"/>
          <w:kern w:val="2"/>
          <w:szCs w:val="20"/>
        </w:rPr>
        <w:t>（7）审核范围，特别是标识出所审核的组织、职能单元或过程， 以及审核时间；</w:t>
      </w:r>
    </w:p>
    <w:p w14:paraId="0FD536C1">
      <w:pPr>
        <w:autoSpaceDE/>
        <w:autoSpaceDN/>
        <w:spacing w:line="312" w:lineRule="auto"/>
        <w:ind w:firstLine="420"/>
        <w:rPr>
          <w:rFonts w:hint="eastAsia" w:cs="Times New Roman"/>
          <w:kern w:val="2"/>
          <w:szCs w:val="20"/>
        </w:rPr>
      </w:pPr>
      <w:r>
        <w:rPr>
          <w:rFonts w:hint="eastAsia" w:cs="Times New Roman"/>
          <w:kern w:val="2"/>
          <w:szCs w:val="20"/>
        </w:rPr>
        <w:t>（8）任何偏离审核计划的情况及其理由；</w:t>
      </w:r>
    </w:p>
    <w:p w14:paraId="01A245AF">
      <w:pPr>
        <w:autoSpaceDE/>
        <w:autoSpaceDN/>
        <w:spacing w:line="312" w:lineRule="auto"/>
        <w:ind w:firstLine="420"/>
        <w:rPr>
          <w:rFonts w:hint="eastAsia" w:cs="Times New Roman"/>
          <w:kern w:val="2"/>
          <w:szCs w:val="20"/>
        </w:rPr>
      </w:pPr>
      <w:r>
        <w:rPr>
          <w:rFonts w:hint="eastAsia" w:cs="Times New Roman"/>
          <w:kern w:val="2"/>
          <w:szCs w:val="20"/>
        </w:rPr>
        <w:t>（9）任何影响审核方案的重要事项；</w:t>
      </w:r>
    </w:p>
    <w:p w14:paraId="49580D8F">
      <w:pPr>
        <w:autoSpaceDE/>
        <w:autoSpaceDN/>
        <w:spacing w:line="312" w:lineRule="auto"/>
        <w:ind w:firstLine="420"/>
        <w:rPr>
          <w:rFonts w:hint="eastAsia" w:cs="Times New Roman"/>
          <w:kern w:val="2"/>
          <w:szCs w:val="20"/>
        </w:rPr>
      </w:pPr>
      <w:r>
        <w:rPr>
          <w:rFonts w:hint="eastAsia" w:cs="Times New Roman"/>
          <w:kern w:val="2"/>
          <w:szCs w:val="20"/>
        </w:rPr>
        <w:t>（10）审核组成员姓名、身份及任何与审核组同行的人员；</w:t>
      </w:r>
    </w:p>
    <w:p w14:paraId="520D0FA0">
      <w:pPr>
        <w:autoSpaceDE/>
        <w:autoSpaceDN/>
        <w:spacing w:line="312" w:lineRule="auto"/>
        <w:ind w:firstLine="420"/>
        <w:rPr>
          <w:rFonts w:hint="eastAsia" w:cs="Times New Roman"/>
          <w:kern w:val="2"/>
          <w:szCs w:val="20"/>
        </w:rPr>
      </w:pPr>
      <w:r>
        <w:rPr>
          <w:rFonts w:hint="eastAsia" w:cs="Times New Roman"/>
          <w:kern w:val="2"/>
          <w:szCs w:val="20"/>
        </w:rPr>
        <w:t>（11）审核活动（现场或非现场，永久或临时场所）的实施日期和地点；</w:t>
      </w:r>
    </w:p>
    <w:p w14:paraId="5A1D48E9">
      <w:pPr>
        <w:autoSpaceDE/>
        <w:autoSpaceDN/>
        <w:spacing w:line="312" w:lineRule="auto"/>
        <w:ind w:firstLine="420"/>
        <w:rPr>
          <w:rFonts w:hint="eastAsia" w:cs="Times New Roman"/>
          <w:kern w:val="2"/>
          <w:szCs w:val="20"/>
        </w:rPr>
      </w:pPr>
      <w:r>
        <w:rPr>
          <w:rFonts w:hint="eastAsia" w:cs="Times New Roman"/>
          <w:kern w:val="2"/>
          <w:szCs w:val="20"/>
        </w:rPr>
        <w:t>（12）应描述与审核类型要求一致的审核发现、审核证据（或审核证据的引用） 以及审核结论，重点反映认证委托人主要产品和服务提供过程与控制情况、 内部审核和管理评审的过程、所取得的绩效，认证委托人实际情况与其预期质量目标之间存在的差距和改进机会；</w:t>
      </w:r>
    </w:p>
    <w:p w14:paraId="3083000B">
      <w:pPr>
        <w:autoSpaceDE/>
        <w:autoSpaceDN/>
        <w:spacing w:line="312" w:lineRule="auto"/>
        <w:ind w:firstLine="420"/>
        <w:rPr>
          <w:rFonts w:hint="eastAsia" w:cs="Times New Roman"/>
          <w:kern w:val="2"/>
          <w:szCs w:val="20"/>
        </w:rPr>
      </w:pPr>
      <w:r>
        <w:rPr>
          <w:rFonts w:hint="eastAsia" w:cs="Times New Roman"/>
          <w:kern w:val="2"/>
          <w:szCs w:val="20"/>
        </w:rPr>
        <w:t>（13）行政监管部门在质量方面抽查的不合格情况，及相关原因分析和整改措施的有效性（适用时）；</w:t>
      </w:r>
    </w:p>
    <w:p w14:paraId="2CA560F7">
      <w:pPr>
        <w:autoSpaceDE/>
        <w:autoSpaceDN/>
        <w:spacing w:line="312" w:lineRule="auto"/>
        <w:ind w:firstLine="420"/>
        <w:rPr>
          <w:rFonts w:hint="eastAsia" w:cs="Times New Roman"/>
          <w:kern w:val="2"/>
          <w:szCs w:val="20"/>
        </w:rPr>
      </w:pPr>
      <w:r>
        <w:rPr>
          <w:rFonts w:hint="eastAsia" w:cs="Times New Roman"/>
          <w:kern w:val="2"/>
          <w:szCs w:val="20"/>
        </w:rPr>
        <w:t>（14）上次审核后发生的影响认证委托人CXMS的重要变更（适用时）；</w:t>
      </w:r>
    </w:p>
    <w:p w14:paraId="5F85BBB2">
      <w:pPr>
        <w:autoSpaceDE/>
        <w:autoSpaceDN/>
        <w:spacing w:line="312" w:lineRule="auto"/>
        <w:ind w:firstLine="420"/>
        <w:rPr>
          <w:rFonts w:hint="eastAsia" w:cs="Times New Roman"/>
          <w:kern w:val="2"/>
          <w:szCs w:val="20"/>
        </w:rPr>
      </w:pPr>
      <w:r>
        <w:rPr>
          <w:rFonts w:hint="eastAsia" w:cs="Times New Roman"/>
          <w:kern w:val="2"/>
          <w:szCs w:val="20"/>
        </w:rPr>
        <w:t>（15）获证组织对认证证书和认证标志使用的控制情况（适用时）；</w:t>
      </w:r>
    </w:p>
    <w:p w14:paraId="287E7EF2">
      <w:pPr>
        <w:autoSpaceDE/>
        <w:autoSpaceDN/>
        <w:spacing w:line="312" w:lineRule="auto"/>
        <w:ind w:firstLine="420"/>
        <w:rPr>
          <w:rFonts w:hint="eastAsia" w:cs="Times New Roman"/>
          <w:kern w:val="2"/>
          <w:szCs w:val="20"/>
        </w:rPr>
      </w:pPr>
      <w:r>
        <w:rPr>
          <w:rFonts w:hint="eastAsia" w:cs="Times New Roman"/>
          <w:kern w:val="2"/>
          <w:szCs w:val="20"/>
        </w:rPr>
        <w:t>（16）对以前不符合采取的纠正措施有效性的验证情况（适用时）；</w:t>
      </w:r>
    </w:p>
    <w:p w14:paraId="17D8D73E">
      <w:pPr>
        <w:autoSpaceDE/>
        <w:autoSpaceDN/>
        <w:spacing w:line="312" w:lineRule="auto"/>
        <w:ind w:firstLine="420"/>
        <w:rPr>
          <w:rFonts w:hint="eastAsia" w:cs="Times New Roman"/>
          <w:kern w:val="2"/>
          <w:szCs w:val="20"/>
        </w:rPr>
      </w:pPr>
      <w:r>
        <w:rPr>
          <w:rFonts w:hint="eastAsia" w:cs="Times New Roman"/>
          <w:kern w:val="2"/>
          <w:szCs w:val="20"/>
        </w:rPr>
        <w:t>（17） 已识别出的任何未解决的问题；</w:t>
      </w:r>
    </w:p>
    <w:p w14:paraId="74C62A61">
      <w:pPr>
        <w:autoSpaceDE/>
        <w:autoSpaceDN/>
        <w:spacing w:line="312" w:lineRule="auto"/>
        <w:ind w:firstLine="420"/>
        <w:rPr>
          <w:rFonts w:hint="eastAsia" w:cs="Times New Roman"/>
          <w:kern w:val="2"/>
          <w:szCs w:val="20"/>
        </w:rPr>
      </w:pPr>
      <w:r>
        <w:rPr>
          <w:rFonts w:hint="eastAsia" w:cs="Times New Roman"/>
          <w:kern w:val="2"/>
          <w:szCs w:val="20"/>
        </w:rPr>
        <w:t>（18）说明审核基于对可获得信息的抽样过程的免责声明；</w:t>
      </w:r>
    </w:p>
    <w:p w14:paraId="7154C8AA">
      <w:pPr>
        <w:autoSpaceDE/>
        <w:autoSpaceDN/>
        <w:spacing w:line="312" w:lineRule="auto"/>
        <w:ind w:firstLine="420"/>
        <w:rPr>
          <w:rFonts w:hint="eastAsia" w:cs="Times New Roman"/>
          <w:kern w:val="2"/>
          <w:szCs w:val="20"/>
        </w:rPr>
      </w:pPr>
      <w:r>
        <w:rPr>
          <w:rFonts w:hint="eastAsia" w:cs="Times New Roman"/>
          <w:kern w:val="2"/>
          <w:szCs w:val="20"/>
        </w:rPr>
        <w:t>（19）审核组的推荐意见以及对申请的认证范围适宜性的结论。</w:t>
      </w:r>
    </w:p>
    <w:p w14:paraId="5CA324A8">
      <w:pPr>
        <w:autoSpaceDE/>
        <w:autoSpaceDN/>
        <w:spacing w:line="312" w:lineRule="auto"/>
        <w:ind w:firstLine="420"/>
        <w:rPr>
          <w:rFonts w:hint="eastAsia" w:cs="Times New Roman"/>
          <w:kern w:val="2"/>
          <w:szCs w:val="20"/>
        </w:rPr>
      </w:pPr>
      <w:r>
        <w:rPr>
          <w:rFonts w:hint="eastAsia" w:cs="Times New Roman"/>
          <w:kern w:val="2"/>
          <w:szCs w:val="20"/>
        </w:rPr>
        <w:t>5.11.4 认证机构应保留用于证实审核报告中相关信息的审核证据。</w:t>
      </w:r>
    </w:p>
    <w:p w14:paraId="79C22774">
      <w:pPr>
        <w:autoSpaceDE/>
        <w:autoSpaceDN/>
        <w:spacing w:line="312" w:lineRule="auto"/>
        <w:ind w:firstLine="420"/>
        <w:rPr>
          <w:rFonts w:hint="eastAsia" w:cs="Times New Roman"/>
          <w:kern w:val="2"/>
          <w:szCs w:val="20"/>
        </w:rPr>
      </w:pPr>
      <w:r>
        <w:rPr>
          <w:rFonts w:hint="eastAsia" w:cs="Times New Roman"/>
          <w:kern w:val="2"/>
          <w:szCs w:val="20"/>
        </w:rPr>
        <w:t>5.11.5 对终止审核的项目，审核组应将终止审核的原因以</w:t>
      </w:r>
    </w:p>
    <w:p w14:paraId="287098F5">
      <w:pPr>
        <w:autoSpaceDE/>
        <w:autoSpaceDN/>
        <w:spacing w:line="312" w:lineRule="auto"/>
        <w:ind w:firstLine="420"/>
        <w:rPr>
          <w:rFonts w:hint="eastAsia" w:cs="Times New Roman"/>
          <w:kern w:val="2"/>
          <w:szCs w:val="20"/>
        </w:rPr>
      </w:pPr>
      <w:r>
        <w:rPr>
          <w:rFonts w:hint="eastAsia" w:cs="Times New Roman"/>
          <w:kern w:val="2"/>
          <w:szCs w:val="20"/>
        </w:rPr>
        <w:t>及已开展的工作情况形成报告，认证机构应将此报告提交给认证委托人。</w:t>
      </w:r>
    </w:p>
    <w:bookmarkEnd w:id="83"/>
    <w:p w14:paraId="02A8C6C0">
      <w:pPr>
        <w:pStyle w:val="26"/>
        <w:ind w:firstLine="422"/>
        <w:rPr>
          <w:rFonts w:hint="eastAsia"/>
        </w:rPr>
      </w:pPr>
      <w:bookmarkStart w:id="84" w:name="_Toc30576"/>
      <w:bookmarkStart w:id="85" w:name="_Toc226880943"/>
      <w:r>
        <w:rPr>
          <w:rFonts w:hint="eastAsia"/>
        </w:rPr>
        <w:t>5.12  认证决定</w:t>
      </w:r>
      <w:bookmarkEnd w:id="84"/>
      <w:bookmarkEnd w:id="85"/>
    </w:p>
    <w:p w14:paraId="1FDD5BC4">
      <w:pPr>
        <w:autoSpaceDE/>
        <w:autoSpaceDN/>
        <w:spacing w:line="312" w:lineRule="auto"/>
        <w:ind w:firstLine="420"/>
        <w:rPr>
          <w:rFonts w:hint="eastAsia" w:cs="Times New Roman"/>
          <w:kern w:val="2"/>
          <w:szCs w:val="20"/>
        </w:rPr>
      </w:pPr>
      <w:r>
        <w:rPr>
          <w:rFonts w:hint="eastAsia" w:cs="Times New Roman"/>
          <w:kern w:val="2"/>
          <w:szCs w:val="20"/>
        </w:rPr>
        <w:t>5.12.1 认证机构应在对审核报告、不符合的纠正措施及验证情况和其他信息进行复核、综合评价的基础上，做出认证决定。认证决定人员应为认证机构的专职认证人员，并不得为审核组成员，能力应满足关于认证机构资质审批的相关要求。认证决定过程不得外包，认证决定须由中华人民共和国境内的工作人员做出。</w:t>
      </w:r>
    </w:p>
    <w:p w14:paraId="0A162189">
      <w:pPr>
        <w:autoSpaceDE/>
        <w:autoSpaceDN/>
        <w:spacing w:line="312" w:lineRule="auto"/>
        <w:ind w:firstLine="420"/>
        <w:rPr>
          <w:rFonts w:hint="eastAsia" w:cs="Times New Roman"/>
          <w:kern w:val="2"/>
          <w:szCs w:val="20"/>
        </w:rPr>
      </w:pPr>
      <w:r>
        <w:rPr>
          <w:rFonts w:hint="eastAsia" w:cs="Times New Roman"/>
          <w:kern w:val="2"/>
          <w:szCs w:val="20"/>
        </w:rPr>
        <w:t>5.12.2 认证机构应有充分的证据确认认证委托人满足下列条件的，做出授予、更新、扩大认证范围的决定：</w:t>
      </w:r>
    </w:p>
    <w:p w14:paraId="0E113926">
      <w:pPr>
        <w:autoSpaceDE/>
        <w:autoSpaceDN/>
        <w:spacing w:line="312" w:lineRule="auto"/>
        <w:ind w:firstLine="420"/>
        <w:rPr>
          <w:rFonts w:hint="eastAsia" w:cs="Times New Roman"/>
          <w:kern w:val="2"/>
          <w:szCs w:val="20"/>
        </w:rPr>
      </w:pPr>
      <w:r>
        <w:rPr>
          <w:rFonts w:hint="eastAsia" w:cs="Times New Roman"/>
          <w:kern w:val="2"/>
          <w:szCs w:val="20"/>
        </w:rPr>
        <w:t>（1）5.1.2 中的条件；</w:t>
      </w:r>
    </w:p>
    <w:p w14:paraId="45CA1902">
      <w:pPr>
        <w:autoSpaceDE/>
        <w:autoSpaceDN/>
        <w:spacing w:line="312" w:lineRule="auto"/>
        <w:ind w:firstLine="420"/>
        <w:rPr>
          <w:rFonts w:hint="eastAsia" w:cs="Times New Roman"/>
          <w:kern w:val="2"/>
          <w:szCs w:val="20"/>
        </w:rPr>
      </w:pPr>
      <w:r>
        <w:rPr>
          <w:rFonts w:hint="eastAsia" w:cs="Times New Roman"/>
          <w:kern w:val="2"/>
          <w:szCs w:val="20"/>
        </w:rPr>
        <w:t>（2）对于严重不符合， 已评审、接受并验证了纠正措施的有效性；对于轻微不符合， 已评审、接受了认证委托人的纠正措施或计划采取的纠正措施；</w:t>
      </w:r>
    </w:p>
    <w:p w14:paraId="752E3006">
      <w:pPr>
        <w:autoSpaceDE/>
        <w:autoSpaceDN/>
        <w:spacing w:line="312" w:lineRule="auto"/>
        <w:ind w:firstLine="420"/>
        <w:rPr>
          <w:rFonts w:hint="eastAsia" w:cs="Times New Roman"/>
          <w:kern w:val="2"/>
          <w:szCs w:val="20"/>
        </w:rPr>
      </w:pPr>
      <w:r>
        <w:rPr>
          <w:rFonts w:hint="eastAsia" w:cs="Times New Roman"/>
          <w:kern w:val="2"/>
          <w:szCs w:val="20"/>
        </w:rPr>
        <w:t>（3）认证委托人的 CXMS 符合GB/T 31950-2023《企业诚信管理体系  要求》标准要求且运行有效；</w:t>
      </w:r>
    </w:p>
    <w:p w14:paraId="07F54F44">
      <w:pPr>
        <w:autoSpaceDE/>
        <w:autoSpaceDN/>
        <w:spacing w:line="312" w:lineRule="auto"/>
        <w:ind w:firstLine="420"/>
        <w:rPr>
          <w:rFonts w:hint="eastAsia" w:cs="Times New Roman"/>
          <w:kern w:val="2"/>
          <w:szCs w:val="20"/>
        </w:rPr>
      </w:pPr>
      <w:r>
        <w:rPr>
          <w:rFonts w:hint="eastAsia" w:cs="Times New Roman"/>
          <w:kern w:val="2"/>
          <w:szCs w:val="20"/>
        </w:rPr>
        <w:t>（4）认证委托人按照认证合同规定履行了相关义务。</w:t>
      </w:r>
    </w:p>
    <w:p w14:paraId="68EEAB8F">
      <w:pPr>
        <w:autoSpaceDE/>
        <w:autoSpaceDN/>
        <w:spacing w:line="312" w:lineRule="auto"/>
        <w:ind w:firstLine="420"/>
        <w:rPr>
          <w:rFonts w:hint="eastAsia" w:cs="Times New Roman"/>
          <w:kern w:val="2"/>
          <w:szCs w:val="20"/>
        </w:rPr>
      </w:pPr>
      <w:r>
        <w:rPr>
          <w:rFonts w:hint="eastAsia" w:cs="Times New Roman"/>
          <w:kern w:val="2"/>
          <w:szCs w:val="20"/>
        </w:rPr>
        <w:t>5.12.3 初次认证审核的认证决定应在现场审核后 6个月内完成。否则应在推荐认证注册前再实施一次第二阶段审核。</w:t>
      </w:r>
    </w:p>
    <w:p w14:paraId="27386E35">
      <w:pPr>
        <w:autoSpaceDE/>
        <w:autoSpaceDN/>
        <w:spacing w:line="312" w:lineRule="auto"/>
        <w:ind w:firstLine="420"/>
        <w:rPr>
          <w:rFonts w:hint="eastAsia" w:cs="Times New Roman"/>
          <w:kern w:val="2"/>
          <w:szCs w:val="20"/>
        </w:rPr>
      </w:pPr>
      <w:r>
        <w:rPr>
          <w:rFonts w:hint="eastAsia" w:cs="Times New Roman"/>
          <w:kern w:val="2"/>
          <w:szCs w:val="20"/>
        </w:rPr>
        <w:t>5.12.4 再认证审核的认证决定宜在上一认证周期认证证书到期前完成，最迟应在证书到期之日起 6 个月内完成。如果在当前认证证书终止日期前，认证机构未能完成再认证审核或对严重不符合实施的纠正和纠正措施未能进行验证，则不应予以再认证，也不应延长原认证证书的有效期。</w:t>
      </w:r>
    </w:p>
    <w:p w14:paraId="3AE8B841">
      <w:pPr>
        <w:autoSpaceDE/>
        <w:autoSpaceDN/>
        <w:spacing w:line="312" w:lineRule="auto"/>
        <w:ind w:firstLine="420"/>
        <w:rPr>
          <w:rFonts w:hint="eastAsia" w:cs="Times New Roman"/>
          <w:kern w:val="2"/>
          <w:szCs w:val="20"/>
        </w:rPr>
      </w:pPr>
      <w:r>
        <w:rPr>
          <w:rFonts w:hint="eastAsia" w:cs="Times New Roman"/>
          <w:kern w:val="2"/>
          <w:szCs w:val="20"/>
        </w:rPr>
        <w:t>5.12.5 认证委托人不能满足 5.12.2 要求的，认证机构应以书面形式告知其未通过认证的原因。</w:t>
      </w:r>
    </w:p>
    <w:p w14:paraId="0CF156A8">
      <w:pPr>
        <w:autoSpaceDE/>
        <w:autoSpaceDN/>
        <w:spacing w:line="312" w:lineRule="auto"/>
        <w:ind w:firstLine="420"/>
        <w:rPr>
          <w:rFonts w:hint="eastAsia" w:cs="Times New Roman"/>
          <w:kern w:val="2"/>
          <w:szCs w:val="20"/>
        </w:rPr>
      </w:pPr>
      <w:r>
        <w:rPr>
          <w:rFonts w:hint="eastAsia" w:cs="Times New Roman"/>
          <w:kern w:val="2"/>
          <w:szCs w:val="20"/>
        </w:rPr>
        <w:t>5.12.6 对于监督审核，认证机构在满足下列条件时，可根据审核组长的肯定性结论保持对获证组织的认证，无需再进行独立的认证决定：</w:t>
      </w:r>
    </w:p>
    <w:p w14:paraId="2196119F">
      <w:pPr>
        <w:ind w:firstLine="420"/>
        <w:rPr>
          <w:rFonts w:hint="eastAsia"/>
        </w:rPr>
      </w:pPr>
      <w:r>
        <w:rPr>
          <w:rFonts w:hint="eastAsia"/>
        </w:rPr>
        <w:t>（1）监督审核未发现严重不符合及其他可能导致认证证书暂停、撤销的情况；</w:t>
      </w:r>
    </w:p>
    <w:p w14:paraId="152EC925">
      <w:pPr>
        <w:ind w:firstLine="420"/>
        <w:rPr>
          <w:rFonts w:hint="eastAsia"/>
        </w:rPr>
      </w:pPr>
      <w:r>
        <w:rPr>
          <w:rFonts w:hint="eastAsia"/>
        </w:rPr>
        <w:t>（2）获证组织认证信息未发生变更，不存在扩大、缩小认证范围的情况；</w:t>
      </w:r>
    </w:p>
    <w:p w14:paraId="3EE755C0">
      <w:pPr>
        <w:ind w:firstLine="420"/>
        <w:rPr>
          <w:rFonts w:cs="Times New Roman"/>
        </w:rPr>
      </w:pPr>
      <w:r>
        <w:rPr>
          <w:rFonts w:hint="eastAsia"/>
        </w:rPr>
        <w:t>（3）认证机构建立了监督审核的监视机制并予以实施，可确保监督审核活动的有效性。</w:t>
      </w:r>
    </w:p>
    <w:p w14:paraId="4BD18143">
      <w:pPr>
        <w:pStyle w:val="2"/>
        <w:rPr>
          <w:rFonts w:ascii="宋体" w:hAnsi="宋体"/>
        </w:rPr>
      </w:pPr>
      <w:bookmarkStart w:id="86" w:name="_Toc226880944"/>
      <w:bookmarkStart w:id="87" w:name="_Toc25242"/>
      <w:bookmarkStart w:id="88" w:name="_Toc200873945"/>
      <w:bookmarkStart w:id="89" w:name="_Toc5197"/>
      <w:bookmarkStart w:id="90" w:name="_Toc200873921"/>
      <w:bookmarkStart w:id="91" w:name="_Toc8626"/>
      <w:bookmarkStart w:id="92" w:name="_Toc205390524"/>
      <w:bookmarkStart w:id="93" w:name="_Toc200875074"/>
      <w:r>
        <w:rPr>
          <w:rFonts w:hint="eastAsia" w:ascii="宋体" w:hAnsi="宋体"/>
        </w:rPr>
        <w:t>6  认证证书和认证标志</w:t>
      </w:r>
      <w:bookmarkEnd w:id="86"/>
      <w:bookmarkEnd w:id="87"/>
    </w:p>
    <w:p w14:paraId="3F58D15D">
      <w:pPr>
        <w:pStyle w:val="26"/>
        <w:ind w:firstLine="422"/>
        <w:rPr>
          <w:rFonts w:hint="eastAsia"/>
        </w:rPr>
      </w:pPr>
      <w:bookmarkStart w:id="94" w:name="_Toc32114"/>
      <w:bookmarkStart w:id="95" w:name="_Toc226880945"/>
      <w:r>
        <w:rPr>
          <w:rFonts w:hint="eastAsia"/>
        </w:rPr>
        <w:t>6.1  总则</w:t>
      </w:r>
      <w:bookmarkEnd w:id="94"/>
      <w:bookmarkEnd w:id="95"/>
    </w:p>
    <w:p w14:paraId="4D64B773">
      <w:pPr>
        <w:autoSpaceDE/>
        <w:autoSpaceDN/>
        <w:spacing w:line="312" w:lineRule="auto"/>
        <w:ind w:firstLine="420"/>
        <w:rPr>
          <w:rFonts w:hint="eastAsia" w:cs="Times New Roman"/>
          <w:kern w:val="2"/>
          <w:szCs w:val="20"/>
        </w:rPr>
      </w:pPr>
      <w:r>
        <w:rPr>
          <w:rFonts w:hint="eastAsia" w:cs="Times New Roman"/>
          <w:kern w:val="2"/>
          <w:szCs w:val="20"/>
        </w:rPr>
        <w:t>6.1.1 认证机构应制定文件化的管理制度，要求获证组织正确使用CXMS认证证书和认证标志， 以满足《认证证书和认证标志管理办法》相关规定。</w:t>
      </w:r>
    </w:p>
    <w:p w14:paraId="2BDE8860">
      <w:pPr>
        <w:autoSpaceDE/>
        <w:autoSpaceDN/>
        <w:spacing w:line="312" w:lineRule="auto"/>
        <w:ind w:firstLine="420"/>
        <w:rPr>
          <w:rFonts w:hint="eastAsia" w:cs="Times New Roman"/>
          <w:kern w:val="2"/>
          <w:szCs w:val="20"/>
        </w:rPr>
      </w:pPr>
      <w:r>
        <w:rPr>
          <w:rFonts w:hint="eastAsia" w:cs="Times New Roman"/>
          <w:kern w:val="2"/>
          <w:szCs w:val="20"/>
        </w:rPr>
        <w:t>6.1.2 获证组织可以在认证证书有效时使用CXMS 认证证书和认证标志，并接受认证机构的监督管理。认证证书处于暂停期间、被撤销或注销后，不得继续使用认证证书和认证标志。</w:t>
      </w:r>
    </w:p>
    <w:p w14:paraId="13229D4D">
      <w:pPr>
        <w:autoSpaceDE/>
        <w:autoSpaceDN/>
        <w:spacing w:line="312" w:lineRule="auto"/>
        <w:ind w:firstLine="420"/>
        <w:rPr>
          <w:rFonts w:hint="eastAsia" w:cs="Times New Roman"/>
          <w:kern w:val="2"/>
          <w:szCs w:val="20"/>
        </w:rPr>
      </w:pPr>
      <w:r>
        <w:rPr>
          <w:rFonts w:hint="eastAsia" w:cs="Times New Roman"/>
          <w:kern w:val="2"/>
          <w:szCs w:val="20"/>
        </w:rPr>
        <w:t>6.1.3 获证组织应当在广告等有关宣传中正确使用CXMS 认证标志，不得在产品上仅标注 CXMS认证标志，只有在注明获证组织通过 CXMS认证及认证机构名称的情况下，方可在产品包装上标注CXMS认证标志。</w:t>
      </w:r>
    </w:p>
    <w:p w14:paraId="31F93EF5">
      <w:pPr>
        <w:autoSpaceDE/>
        <w:autoSpaceDN/>
        <w:spacing w:line="312" w:lineRule="auto"/>
        <w:ind w:firstLine="420"/>
        <w:rPr>
          <w:rFonts w:hint="eastAsia" w:cs="Times New Roman"/>
          <w:kern w:val="2"/>
          <w:szCs w:val="20"/>
        </w:rPr>
      </w:pPr>
      <w:r>
        <w:rPr>
          <w:rFonts w:hint="eastAsia" w:cs="Times New Roman"/>
          <w:kern w:val="2"/>
          <w:szCs w:val="20"/>
        </w:rPr>
        <w:t>6.1.4 认证机构发现获证组织未正确使用认证证书和认证标志的，应当要求获证组织立即采取有效纠正措施，并跟踪监督纠正情况。</w:t>
      </w:r>
    </w:p>
    <w:p w14:paraId="41F10862">
      <w:pPr>
        <w:pStyle w:val="26"/>
        <w:ind w:firstLine="422"/>
        <w:rPr>
          <w:rFonts w:hint="eastAsia"/>
        </w:rPr>
      </w:pPr>
      <w:bookmarkStart w:id="96" w:name="_Toc226880946"/>
      <w:bookmarkStart w:id="97" w:name="_Toc15956"/>
      <w:r>
        <w:rPr>
          <w:rFonts w:hint="eastAsia"/>
        </w:rPr>
        <w:t>6.2  认证证书</w:t>
      </w:r>
      <w:bookmarkEnd w:id="96"/>
      <w:bookmarkEnd w:id="97"/>
    </w:p>
    <w:p w14:paraId="56DB6719">
      <w:pPr>
        <w:autoSpaceDE/>
        <w:autoSpaceDN/>
        <w:spacing w:line="312" w:lineRule="auto"/>
        <w:ind w:firstLine="420"/>
        <w:rPr>
          <w:rFonts w:hint="eastAsia" w:cs="Times New Roman"/>
          <w:kern w:val="2"/>
          <w:szCs w:val="20"/>
        </w:rPr>
      </w:pPr>
      <w:r>
        <w:rPr>
          <w:rFonts w:hint="eastAsia" w:cs="Times New Roman"/>
          <w:kern w:val="2"/>
          <w:szCs w:val="20"/>
        </w:rPr>
        <w:t>6.2.1 认证机构应及时向认证决定符合要求的组织出具认证证书，认证证书的有效期最长为3年。</w:t>
      </w:r>
    </w:p>
    <w:p w14:paraId="3A0F1F92">
      <w:pPr>
        <w:autoSpaceDE/>
        <w:autoSpaceDN/>
        <w:spacing w:line="312" w:lineRule="auto"/>
        <w:ind w:firstLine="420"/>
        <w:rPr>
          <w:rFonts w:hint="eastAsia" w:cs="Times New Roman"/>
          <w:kern w:val="2"/>
          <w:szCs w:val="20"/>
        </w:rPr>
      </w:pPr>
      <w:r>
        <w:rPr>
          <w:rFonts w:hint="eastAsia" w:cs="Times New Roman"/>
          <w:kern w:val="2"/>
          <w:szCs w:val="20"/>
        </w:rPr>
        <w:t>6.2.2 认证证书有效期的起算日期为认证证书签发日期，认证证书的签发日期不应早于做出认证决定的日期。</w:t>
      </w:r>
    </w:p>
    <w:p w14:paraId="713AF6AF">
      <w:pPr>
        <w:autoSpaceDE/>
        <w:autoSpaceDN/>
        <w:spacing w:line="312" w:lineRule="auto"/>
        <w:ind w:firstLine="420"/>
        <w:rPr>
          <w:rFonts w:hint="eastAsia" w:cs="Times New Roman"/>
          <w:kern w:val="2"/>
          <w:szCs w:val="20"/>
        </w:rPr>
      </w:pPr>
      <w:r>
        <w:rPr>
          <w:rFonts w:hint="eastAsia" w:cs="Times New Roman"/>
          <w:kern w:val="2"/>
          <w:szCs w:val="20"/>
        </w:rPr>
        <w:t xml:space="preserve">6.2.3 对于未能在原认证证书到期前完成再认证决定的，获证组织的CXMS认证证书到期后自动失效，直至获得新签发的再认证证书，新签发的再认证证书的终止日期不超过上一认证周期终止日期再加 3 年。 </w:t>
      </w:r>
    </w:p>
    <w:p w14:paraId="7E167ED2">
      <w:pPr>
        <w:autoSpaceDE/>
        <w:autoSpaceDN/>
        <w:spacing w:line="312" w:lineRule="auto"/>
        <w:ind w:firstLine="420"/>
        <w:rPr>
          <w:rFonts w:hint="eastAsia" w:cs="Times New Roman"/>
          <w:kern w:val="2"/>
          <w:szCs w:val="20"/>
        </w:rPr>
      </w:pPr>
      <w:r>
        <w:rPr>
          <w:rFonts w:hint="eastAsia" w:cs="Times New Roman"/>
          <w:kern w:val="2"/>
          <w:szCs w:val="20"/>
        </w:rPr>
        <w:t>6.2.4 对每张CXMS认证证书应赋予一个认证证书编号，认证证书编号应遵循一定的规律，具体详见附录 C。</w:t>
      </w:r>
    </w:p>
    <w:p w14:paraId="400C4A2E">
      <w:pPr>
        <w:autoSpaceDE/>
        <w:autoSpaceDN/>
        <w:spacing w:line="312" w:lineRule="auto"/>
        <w:ind w:firstLine="420"/>
        <w:rPr>
          <w:rFonts w:hint="eastAsia" w:cs="Times New Roman"/>
          <w:kern w:val="2"/>
          <w:szCs w:val="20"/>
        </w:rPr>
      </w:pPr>
      <w:r>
        <w:rPr>
          <w:rFonts w:hint="eastAsia" w:cs="Times New Roman"/>
          <w:kern w:val="2"/>
          <w:szCs w:val="20"/>
        </w:rPr>
        <w:t>6.2.5 认证证书在中华人民共和国境内使用的，认证证书应使用中文。</w:t>
      </w:r>
    </w:p>
    <w:p w14:paraId="3286A559">
      <w:pPr>
        <w:autoSpaceDE/>
        <w:autoSpaceDN/>
        <w:spacing w:line="312" w:lineRule="auto"/>
        <w:ind w:firstLine="420"/>
        <w:rPr>
          <w:rFonts w:hint="eastAsia" w:cs="Times New Roman"/>
          <w:kern w:val="2"/>
          <w:szCs w:val="20"/>
        </w:rPr>
      </w:pPr>
      <w:r>
        <w:rPr>
          <w:rFonts w:hint="eastAsia" w:cs="Times New Roman"/>
          <w:kern w:val="2"/>
          <w:szCs w:val="20"/>
        </w:rPr>
        <w:t>6.2.6 认证证书的信息应真实、准确，不产生误导，并至少包含以下内容：</w:t>
      </w:r>
    </w:p>
    <w:p w14:paraId="72820A9D">
      <w:pPr>
        <w:autoSpaceDE/>
        <w:autoSpaceDN/>
        <w:spacing w:line="312" w:lineRule="auto"/>
        <w:ind w:firstLine="420"/>
        <w:rPr>
          <w:rFonts w:hint="eastAsia" w:cs="Times New Roman"/>
          <w:kern w:val="2"/>
          <w:szCs w:val="20"/>
        </w:rPr>
      </w:pPr>
      <w:r>
        <w:rPr>
          <w:rFonts w:hint="eastAsia" w:cs="Times New Roman"/>
          <w:kern w:val="2"/>
          <w:szCs w:val="20"/>
        </w:rPr>
        <w:t>（1）获证组织名称、统一社会信用代码、注册地址、认证范围所覆盖的经营地址。若认证的CXMS覆盖多场所，应表述认证所覆盖的所有场所的地址信息；</w:t>
      </w:r>
    </w:p>
    <w:p w14:paraId="01DE2D96">
      <w:pPr>
        <w:autoSpaceDE/>
        <w:autoSpaceDN/>
        <w:spacing w:line="312" w:lineRule="auto"/>
        <w:ind w:firstLine="420"/>
        <w:rPr>
          <w:rFonts w:hint="eastAsia" w:cs="Times New Roman"/>
          <w:kern w:val="2"/>
          <w:szCs w:val="20"/>
        </w:rPr>
      </w:pPr>
      <w:r>
        <w:rPr>
          <w:rFonts w:hint="eastAsia" w:cs="Times New Roman"/>
          <w:kern w:val="2"/>
          <w:szCs w:val="20"/>
        </w:rPr>
        <w:t>注：认证证书中可不包括临时场所，当在认证证书上展示临时场所时，应注明这些场所为临时场所。</w:t>
      </w:r>
    </w:p>
    <w:p w14:paraId="43879368">
      <w:pPr>
        <w:autoSpaceDE/>
        <w:autoSpaceDN/>
        <w:spacing w:line="312" w:lineRule="auto"/>
        <w:ind w:firstLine="420"/>
        <w:rPr>
          <w:rFonts w:hint="eastAsia" w:cs="Times New Roman"/>
          <w:kern w:val="2"/>
          <w:szCs w:val="20"/>
        </w:rPr>
      </w:pPr>
      <w:r>
        <w:rPr>
          <w:rFonts w:hint="eastAsia" w:cs="Times New Roman"/>
          <w:kern w:val="2"/>
          <w:szCs w:val="20"/>
        </w:rPr>
        <w:t>（2）获证组织 CXMS 所覆盖的产品、活动、服务的范围；包括每个场所相应的认证范围，且没有误导或歧义（适用时）；</w:t>
      </w:r>
    </w:p>
    <w:p w14:paraId="432ED44D">
      <w:pPr>
        <w:autoSpaceDE/>
        <w:autoSpaceDN/>
        <w:spacing w:line="312" w:lineRule="auto"/>
        <w:ind w:firstLine="420"/>
        <w:rPr>
          <w:rFonts w:hint="eastAsia" w:cs="Times New Roman"/>
          <w:kern w:val="2"/>
          <w:szCs w:val="20"/>
        </w:rPr>
      </w:pPr>
      <w:r>
        <w:rPr>
          <w:rFonts w:hint="eastAsia" w:cs="Times New Roman"/>
          <w:kern w:val="2"/>
          <w:szCs w:val="20"/>
        </w:rPr>
        <w:t>（3）认证依据的认证标准 GB/T 31950-2023《企业诚信管理体系  要求》所采用的当时有效版本的完整标准号；</w:t>
      </w:r>
    </w:p>
    <w:p w14:paraId="76935E71">
      <w:pPr>
        <w:autoSpaceDE/>
        <w:autoSpaceDN/>
        <w:spacing w:line="312" w:lineRule="auto"/>
        <w:ind w:firstLine="420"/>
        <w:rPr>
          <w:rFonts w:hint="eastAsia" w:cs="Times New Roman"/>
          <w:kern w:val="2"/>
          <w:szCs w:val="20"/>
        </w:rPr>
      </w:pPr>
      <w:r>
        <w:rPr>
          <w:rFonts w:hint="eastAsia" w:cs="Times New Roman"/>
          <w:kern w:val="2"/>
          <w:szCs w:val="20"/>
        </w:rPr>
        <w:t>（4）认证证书签发日期和有效截止日期，认证证书应注明：获证组织必须定期接受监督审核并经审核合格此证书方继续有效的提示信息；</w:t>
      </w:r>
    </w:p>
    <w:p w14:paraId="0E9B1867">
      <w:pPr>
        <w:autoSpaceDE/>
        <w:autoSpaceDN/>
        <w:spacing w:line="312" w:lineRule="auto"/>
        <w:ind w:firstLine="420"/>
        <w:rPr>
          <w:rFonts w:hint="eastAsia" w:cs="Times New Roman"/>
          <w:kern w:val="2"/>
          <w:szCs w:val="20"/>
        </w:rPr>
      </w:pPr>
      <w:r>
        <w:rPr>
          <w:rFonts w:hint="eastAsia" w:cs="Times New Roman"/>
          <w:kern w:val="2"/>
          <w:szCs w:val="20"/>
        </w:rPr>
        <w:t>（5）认证证书编号（或唯一的识别代码）；</w:t>
      </w:r>
    </w:p>
    <w:p w14:paraId="6F03EAED">
      <w:pPr>
        <w:autoSpaceDE/>
        <w:autoSpaceDN/>
        <w:spacing w:line="312" w:lineRule="auto"/>
        <w:ind w:firstLine="420"/>
        <w:rPr>
          <w:rFonts w:hint="eastAsia" w:cs="Times New Roman"/>
          <w:kern w:val="2"/>
          <w:szCs w:val="20"/>
        </w:rPr>
      </w:pPr>
      <w:r>
        <w:rPr>
          <w:rFonts w:hint="eastAsia" w:cs="Times New Roman"/>
          <w:kern w:val="2"/>
          <w:szCs w:val="20"/>
        </w:rPr>
        <w:t>（6）认证机构名称、地址；</w:t>
      </w:r>
    </w:p>
    <w:p w14:paraId="04587931">
      <w:pPr>
        <w:autoSpaceDE/>
        <w:autoSpaceDN/>
        <w:spacing w:line="312" w:lineRule="auto"/>
        <w:ind w:firstLine="420"/>
        <w:rPr>
          <w:rFonts w:hint="eastAsia" w:cs="Times New Roman"/>
          <w:kern w:val="2"/>
          <w:szCs w:val="20"/>
        </w:rPr>
      </w:pPr>
      <w:r>
        <w:rPr>
          <w:rFonts w:hint="eastAsia" w:cs="Times New Roman"/>
          <w:kern w:val="2"/>
          <w:szCs w:val="20"/>
        </w:rPr>
        <w:t>（7）认证标志、相关的认可标识及认可注册号（适用时）；</w:t>
      </w:r>
    </w:p>
    <w:p w14:paraId="512E0047">
      <w:pPr>
        <w:autoSpaceDE/>
        <w:autoSpaceDN/>
        <w:spacing w:line="312" w:lineRule="auto"/>
        <w:ind w:firstLine="420"/>
        <w:rPr>
          <w:rFonts w:hint="eastAsia" w:cs="Times New Roman"/>
          <w:kern w:val="2"/>
          <w:szCs w:val="20"/>
        </w:rPr>
      </w:pPr>
      <w:r>
        <w:rPr>
          <w:rFonts w:hint="eastAsia" w:cs="Times New Roman"/>
          <w:kern w:val="2"/>
          <w:szCs w:val="20"/>
        </w:rPr>
        <w:t>（8）认证证书信息及认证证书状态的查询途径。</w:t>
      </w:r>
    </w:p>
    <w:p w14:paraId="6CCD7576">
      <w:pPr>
        <w:pStyle w:val="26"/>
        <w:ind w:firstLine="422"/>
        <w:rPr>
          <w:rFonts w:hint="eastAsia"/>
        </w:rPr>
      </w:pPr>
      <w:bookmarkStart w:id="98" w:name="_Toc226880947"/>
      <w:bookmarkStart w:id="99" w:name="_Toc5149"/>
      <w:r>
        <w:rPr>
          <w:rFonts w:hint="eastAsia"/>
        </w:rPr>
        <w:t>6.3  认证标志</w:t>
      </w:r>
      <w:bookmarkEnd w:id="98"/>
      <w:bookmarkEnd w:id="99"/>
    </w:p>
    <w:p w14:paraId="21202F9F">
      <w:pPr>
        <w:autoSpaceDE/>
        <w:autoSpaceDN/>
        <w:spacing w:line="312" w:lineRule="auto"/>
        <w:ind w:firstLine="420"/>
        <w:rPr>
          <w:rFonts w:hint="eastAsia" w:cs="Times New Roman"/>
          <w:kern w:val="2"/>
          <w:szCs w:val="20"/>
        </w:rPr>
      </w:pPr>
      <w:r>
        <w:rPr>
          <w:rFonts w:hint="eastAsia" w:cs="Times New Roman"/>
          <w:kern w:val="2"/>
          <w:szCs w:val="20"/>
        </w:rPr>
        <w:t>认证机构自行制定的认证标志的式样、文字和名称，不得违反法律、行政法规的规定，不得与国家统一的自愿性认证标志或其他认证机构自行制定并公布的认证标志相同或者近似，不得妨碍社会管理，不得有损社会道德风尚。</w:t>
      </w:r>
    </w:p>
    <w:bookmarkEnd w:id="88"/>
    <w:bookmarkEnd w:id="89"/>
    <w:bookmarkEnd w:id="90"/>
    <w:bookmarkEnd w:id="91"/>
    <w:bookmarkEnd w:id="92"/>
    <w:bookmarkEnd w:id="93"/>
    <w:p w14:paraId="6ACFB50F">
      <w:pPr>
        <w:pStyle w:val="2"/>
        <w:rPr>
          <w:rFonts w:ascii="宋体" w:hAnsi="宋体"/>
        </w:rPr>
      </w:pPr>
      <w:bookmarkStart w:id="100" w:name="_Toc226880948"/>
      <w:bookmarkStart w:id="101" w:name="_Toc9063"/>
      <w:bookmarkStart w:id="102" w:name="_Toc3917"/>
      <w:bookmarkStart w:id="103" w:name="_Toc21512"/>
      <w:bookmarkStart w:id="104" w:name="_Toc200875075"/>
      <w:bookmarkStart w:id="105" w:name="_Toc200873946"/>
      <w:bookmarkStart w:id="106" w:name="_Toc205390525"/>
      <w:bookmarkStart w:id="107" w:name="_Toc200873925"/>
      <w:r>
        <w:rPr>
          <w:rFonts w:hint="eastAsia" w:ascii="宋体" w:hAnsi="宋体"/>
        </w:rPr>
        <w:t>7  认证证书的暂停、撤销和注销</w:t>
      </w:r>
      <w:bookmarkEnd w:id="100"/>
      <w:bookmarkEnd w:id="101"/>
    </w:p>
    <w:p w14:paraId="3D61F989">
      <w:pPr>
        <w:pStyle w:val="26"/>
        <w:ind w:firstLine="422"/>
        <w:rPr>
          <w:rFonts w:hint="eastAsia"/>
        </w:rPr>
      </w:pPr>
      <w:bookmarkStart w:id="108" w:name="_Toc30148"/>
      <w:bookmarkStart w:id="109" w:name="_Toc226880949"/>
      <w:r>
        <w:rPr>
          <w:rFonts w:hint="eastAsia"/>
        </w:rPr>
        <w:t>7.1  总则</w:t>
      </w:r>
      <w:bookmarkEnd w:id="108"/>
      <w:bookmarkEnd w:id="109"/>
    </w:p>
    <w:p w14:paraId="72AEC49F">
      <w:pPr>
        <w:autoSpaceDE/>
        <w:autoSpaceDN/>
        <w:spacing w:line="312" w:lineRule="auto"/>
        <w:ind w:firstLine="420"/>
        <w:rPr>
          <w:rFonts w:hint="eastAsia" w:cs="Times New Roman"/>
          <w:kern w:val="2"/>
          <w:szCs w:val="20"/>
        </w:rPr>
      </w:pPr>
      <w:r>
        <w:rPr>
          <w:rFonts w:hint="eastAsia" w:cs="Times New Roman"/>
          <w:kern w:val="2"/>
          <w:szCs w:val="20"/>
        </w:rPr>
        <w:t>认证机构应建立并实施认证证书暂停、撤销和注销的文件化的管理制度，不得随意暂停、撤销和注销认证证书。</w:t>
      </w:r>
    </w:p>
    <w:p w14:paraId="35BA0F62">
      <w:pPr>
        <w:pStyle w:val="26"/>
        <w:ind w:firstLine="422"/>
        <w:rPr>
          <w:rFonts w:hint="eastAsia"/>
        </w:rPr>
      </w:pPr>
      <w:bookmarkStart w:id="110" w:name="_Toc10091"/>
      <w:bookmarkStart w:id="111" w:name="_Toc226880950"/>
      <w:r>
        <w:rPr>
          <w:rFonts w:hint="eastAsia"/>
        </w:rPr>
        <w:t>7.2  认证证书的暂停</w:t>
      </w:r>
      <w:bookmarkEnd w:id="110"/>
      <w:bookmarkEnd w:id="111"/>
    </w:p>
    <w:p w14:paraId="3DECF3C0">
      <w:pPr>
        <w:autoSpaceDE/>
        <w:autoSpaceDN/>
        <w:spacing w:line="312" w:lineRule="auto"/>
        <w:ind w:firstLine="420"/>
        <w:rPr>
          <w:rFonts w:hint="eastAsia" w:cs="Times New Roman"/>
          <w:kern w:val="2"/>
          <w:szCs w:val="20"/>
        </w:rPr>
      </w:pPr>
      <w:r>
        <w:rPr>
          <w:rFonts w:hint="eastAsia" w:cs="Times New Roman"/>
          <w:kern w:val="2"/>
          <w:szCs w:val="20"/>
        </w:rPr>
        <w:t>7.2.1 获证组织有以下情形之一的，认证机构应在调查核实后5日内暂停其认证证书，并保留相应证据：</w:t>
      </w:r>
    </w:p>
    <w:p w14:paraId="464FDBB9">
      <w:pPr>
        <w:autoSpaceDE/>
        <w:autoSpaceDN/>
        <w:spacing w:line="312" w:lineRule="auto"/>
        <w:ind w:firstLine="420"/>
        <w:rPr>
          <w:rFonts w:hint="eastAsia" w:cs="Times New Roman"/>
          <w:kern w:val="2"/>
          <w:szCs w:val="20"/>
        </w:rPr>
      </w:pPr>
      <w:r>
        <w:rPr>
          <w:rFonts w:hint="eastAsia" w:cs="Times New Roman"/>
          <w:kern w:val="2"/>
          <w:szCs w:val="20"/>
        </w:rPr>
        <w:t>（1）CXMS 持续或严重不满足认证要求的，包括 CXMS 文件与实际业务运作严重脱离；</w:t>
      </w:r>
    </w:p>
    <w:p w14:paraId="00AD3349">
      <w:pPr>
        <w:autoSpaceDE/>
        <w:autoSpaceDN/>
        <w:spacing w:line="312" w:lineRule="auto"/>
        <w:ind w:firstLine="420"/>
        <w:rPr>
          <w:rFonts w:hint="eastAsia" w:cs="Times New Roman"/>
          <w:kern w:val="2"/>
          <w:szCs w:val="20"/>
        </w:rPr>
      </w:pPr>
      <w:r>
        <w:rPr>
          <w:rFonts w:hint="eastAsia" w:cs="Times New Roman"/>
          <w:kern w:val="2"/>
          <w:szCs w:val="20"/>
        </w:rPr>
        <w:t>（2）不满足 CXMS 适用的法律法规要求，且未采取有效纠正措施的；</w:t>
      </w:r>
    </w:p>
    <w:p w14:paraId="0F951A4A">
      <w:pPr>
        <w:autoSpaceDE/>
        <w:autoSpaceDN/>
        <w:spacing w:line="312" w:lineRule="auto"/>
        <w:ind w:firstLine="420"/>
        <w:rPr>
          <w:rFonts w:hint="eastAsia" w:cs="Times New Roman"/>
          <w:kern w:val="2"/>
          <w:szCs w:val="20"/>
        </w:rPr>
      </w:pPr>
      <w:r>
        <w:rPr>
          <w:rFonts w:hint="eastAsia" w:cs="Times New Roman"/>
          <w:kern w:val="2"/>
          <w:szCs w:val="20"/>
        </w:rPr>
        <w:t>（3）受到与质量相关的行政处罚，且尚未完成整改的；</w:t>
      </w:r>
    </w:p>
    <w:p w14:paraId="661E4726">
      <w:pPr>
        <w:autoSpaceDE/>
        <w:autoSpaceDN/>
        <w:spacing w:line="312" w:lineRule="auto"/>
        <w:ind w:firstLine="420"/>
        <w:rPr>
          <w:rFonts w:hint="eastAsia" w:cs="Times New Roman"/>
          <w:kern w:val="2"/>
          <w:szCs w:val="20"/>
        </w:rPr>
      </w:pPr>
      <w:r>
        <w:rPr>
          <w:rFonts w:hint="eastAsia" w:cs="Times New Roman"/>
          <w:kern w:val="2"/>
          <w:szCs w:val="20"/>
        </w:rPr>
        <w:t>（4）发生重大质量事故，反映获证组织CXMS运行存在重大缺陷的；</w:t>
      </w:r>
    </w:p>
    <w:p w14:paraId="329C5FF9">
      <w:pPr>
        <w:autoSpaceDE/>
        <w:autoSpaceDN/>
        <w:spacing w:line="312" w:lineRule="auto"/>
        <w:ind w:firstLine="420"/>
        <w:rPr>
          <w:rFonts w:hint="eastAsia" w:cs="Times New Roman"/>
          <w:kern w:val="2"/>
          <w:szCs w:val="20"/>
        </w:rPr>
      </w:pPr>
      <w:r>
        <w:rPr>
          <w:rFonts w:hint="eastAsia" w:cs="Times New Roman"/>
          <w:kern w:val="2"/>
          <w:szCs w:val="20"/>
        </w:rPr>
        <w:t>（5）拒绝配合市场监管部门的认证执法监督检查，或者提供虚假材料或信息的；</w:t>
      </w:r>
    </w:p>
    <w:p w14:paraId="341AA97A">
      <w:pPr>
        <w:autoSpaceDE/>
        <w:autoSpaceDN/>
        <w:spacing w:line="312" w:lineRule="auto"/>
        <w:ind w:firstLine="420"/>
        <w:rPr>
          <w:rFonts w:hint="eastAsia" w:cs="Times New Roman"/>
          <w:kern w:val="2"/>
          <w:szCs w:val="20"/>
        </w:rPr>
      </w:pPr>
      <w:r>
        <w:rPr>
          <w:rFonts w:hint="eastAsia" w:cs="Times New Roman"/>
          <w:kern w:val="2"/>
          <w:szCs w:val="20"/>
        </w:rPr>
        <w:t>（6）持有的与 CXMS范围有关的行政许可文件、资质证书、强制性认证证书等过期失效的；</w:t>
      </w:r>
    </w:p>
    <w:p w14:paraId="7DE474E0">
      <w:pPr>
        <w:autoSpaceDE/>
        <w:autoSpaceDN/>
        <w:spacing w:line="312" w:lineRule="auto"/>
        <w:ind w:firstLine="420"/>
        <w:rPr>
          <w:rFonts w:hint="eastAsia" w:cs="Times New Roman"/>
          <w:kern w:val="2"/>
          <w:szCs w:val="20"/>
        </w:rPr>
      </w:pPr>
      <w:r>
        <w:rPr>
          <w:rFonts w:hint="eastAsia" w:cs="Times New Roman"/>
          <w:kern w:val="2"/>
          <w:szCs w:val="20"/>
        </w:rPr>
        <w:t>（7）不能按照规定的时间间隔接受监督审核的；</w:t>
      </w:r>
    </w:p>
    <w:p w14:paraId="4064A11F">
      <w:pPr>
        <w:autoSpaceDE/>
        <w:autoSpaceDN/>
        <w:spacing w:line="312" w:lineRule="auto"/>
        <w:ind w:firstLine="420"/>
        <w:rPr>
          <w:rFonts w:hint="eastAsia" w:cs="Times New Roman"/>
          <w:kern w:val="2"/>
          <w:szCs w:val="20"/>
        </w:rPr>
      </w:pPr>
      <w:r>
        <w:rPr>
          <w:rFonts w:hint="eastAsia" w:cs="Times New Roman"/>
          <w:kern w:val="2"/>
          <w:szCs w:val="20"/>
        </w:rPr>
        <w:t>（8）未按相关规定正确引用和宣传获得的认证证书和有关信息，包括认证证书和认证标志的使用；</w:t>
      </w:r>
    </w:p>
    <w:p w14:paraId="6F8603E4">
      <w:pPr>
        <w:autoSpaceDE/>
        <w:autoSpaceDN/>
        <w:spacing w:line="312" w:lineRule="auto"/>
        <w:ind w:firstLine="420"/>
        <w:rPr>
          <w:rFonts w:hint="eastAsia" w:cs="Times New Roman"/>
          <w:kern w:val="2"/>
          <w:szCs w:val="20"/>
        </w:rPr>
      </w:pPr>
      <w:r>
        <w:rPr>
          <w:rFonts w:hint="eastAsia" w:cs="Times New Roman"/>
          <w:kern w:val="2"/>
          <w:szCs w:val="20"/>
        </w:rPr>
        <w:t>（9）不承担、履行认证合同约定的责任和义务的；</w:t>
      </w:r>
    </w:p>
    <w:p w14:paraId="035035AC">
      <w:pPr>
        <w:autoSpaceDE/>
        <w:autoSpaceDN/>
        <w:spacing w:line="312" w:lineRule="auto"/>
        <w:ind w:firstLine="420"/>
        <w:rPr>
          <w:rFonts w:hint="eastAsia" w:cs="Times New Roman"/>
          <w:kern w:val="2"/>
          <w:szCs w:val="20"/>
        </w:rPr>
      </w:pPr>
      <w:r>
        <w:rPr>
          <w:rFonts w:hint="eastAsia" w:cs="Times New Roman"/>
          <w:kern w:val="2"/>
          <w:szCs w:val="20"/>
        </w:rPr>
        <w:t>（10）被有关行政监管部门责令停业整顿的；</w:t>
      </w:r>
    </w:p>
    <w:p w14:paraId="3727B411">
      <w:pPr>
        <w:autoSpaceDE/>
        <w:autoSpaceDN/>
        <w:spacing w:line="312" w:lineRule="auto"/>
        <w:ind w:firstLine="420"/>
        <w:rPr>
          <w:rFonts w:hint="eastAsia" w:cs="Times New Roman"/>
          <w:kern w:val="2"/>
          <w:szCs w:val="20"/>
        </w:rPr>
      </w:pPr>
      <w:r>
        <w:rPr>
          <w:rFonts w:hint="eastAsia" w:cs="Times New Roman"/>
          <w:kern w:val="2"/>
          <w:szCs w:val="20"/>
        </w:rPr>
        <w:t>（11）发生与质量相关重大舆情的；</w:t>
      </w:r>
    </w:p>
    <w:p w14:paraId="0933CCF1">
      <w:pPr>
        <w:autoSpaceDE/>
        <w:autoSpaceDN/>
        <w:spacing w:line="312" w:lineRule="auto"/>
        <w:ind w:firstLine="420"/>
        <w:rPr>
          <w:rFonts w:hint="eastAsia" w:cs="Times New Roman"/>
          <w:kern w:val="2"/>
          <w:szCs w:val="20"/>
        </w:rPr>
      </w:pPr>
      <w:r>
        <w:rPr>
          <w:rFonts w:hint="eastAsia" w:cs="Times New Roman"/>
          <w:kern w:val="2"/>
          <w:szCs w:val="20"/>
        </w:rPr>
        <w:t>（12）主动请求暂停的；</w:t>
      </w:r>
    </w:p>
    <w:p w14:paraId="2349FF16">
      <w:pPr>
        <w:autoSpaceDE/>
        <w:autoSpaceDN/>
        <w:spacing w:line="312" w:lineRule="auto"/>
        <w:ind w:firstLine="420"/>
        <w:rPr>
          <w:rFonts w:hint="eastAsia" w:cs="Times New Roman"/>
          <w:kern w:val="2"/>
          <w:szCs w:val="20"/>
        </w:rPr>
      </w:pPr>
      <w:r>
        <w:rPr>
          <w:rFonts w:hint="eastAsia" w:cs="Times New Roman"/>
          <w:kern w:val="2"/>
          <w:szCs w:val="20"/>
        </w:rPr>
        <w:t>（13）其他应暂停认证证书的。</w:t>
      </w:r>
    </w:p>
    <w:p w14:paraId="68CBB80C">
      <w:pPr>
        <w:autoSpaceDE/>
        <w:autoSpaceDN/>
        <w:spacing w:line="312" w:lineRule="auto"/>
        <w:ind w:firstLine="420"/>
        <w:rPr>
          <w:rFonts w:hint="eastAsia" w:cs="Times New Roman"/>
          <w:kern w:val="2"/>
          <w:szCs w:val="20"/>
        </w:rPr>
      </w:pPr>
      <w:r>
        <w:rPr>
          <w:rFonts w:hint="eastAsia" w:cs="Times New Roman"/>
          <w:kern w:val="2"/>
          <w:szCs w:val="20"/>
        </w:rPr>
        <w:t>7.2.2 认证机构可根据暂停的原因和性质确定暂停期限，暂停期限最长不得超过 6 个月。</w:t>
      </w:r>
    </w:p>
    <w:p w14:paraId="6A608204">
      <w:pPr>
        <w:autoSpaceDE/>
        <w:autoSpaceDN/>
        <w:spacing w:line="312" w:lineRule="auto"/>
        <w:ind w:firstLine="420"/>
        <w:rPr>
          <w:rFonts w:hint="eastAsia" w:cs="Times New Roman"/>
          <w:kern w:val="2"/>
          <w:szCs w:val="20"/>
        </w:rPr>
      </w:pPr>
      <w:r>
        <w:rPr>
          <w:rFonts w:hint="eastAsia" w:cs="Times New Roman"/>
          <w:kern w:val="2"/>
          <w:szCs w:val="20"/>
        </w:rPr>
        <w:t>7.2.3 暂停期间，CXMS认证证书暂时无效。如获证组织采取有效的纠正措施，造成暂停的原因已消除的，认证机构应恢复其认证证书，并保留相应证据。</w:t>
      </w:r>
    </w:p>
    <w:p w14:paraId="1368D59B">
      <w:pPr>
        <w:pStyle w:val="26"/>
        <w:ind w:firstLine="422"/>
        <w:rPr>
          <w:rFonts w:hint="eastAsia"/>
        </w:rPr>
      </w:pPr>
      <w:bookmarkStart w:id="112" w:name="_Toc23535"/>
      <w:bookmarkStart w:id="113" w:name="_Toc226880951"/>
      <w:r>
        <w:rPr>
          <w:rFonts w:hint="eastAsia"/>
        </w:rPr>
        <w:t>7.3  认证证书的撤销</w:t>
      </w:r>
      <w:bookmarkEnd w:id="112"/>
      <w:bookmarkEnd w:id="113"/>
    </w:p>
    <w:p w14:paraId="37D76257">
      <w:pPr>
        <w:autoSpaceDE/>
        <w:autoSpaceDN/>
        <w:spacing w:line="312" w:lineRule="auto"/>
        <w:ind w:firstLine="420"/>
        <w:rPr>
          <w:rFonts w:hint="eastAsia" w:cs="Times New Roman"/>
          <w:kern w:val="2"/>
          <w:szCs w:val="20"/>
        </w:rPr>
      </w:pPr>
      <w:r>
        <w:rPr>
          <w:rFonts w:hint="eastAsia" w:cs="Times New Roman"/>
          <w:kern w:val="2"/>
          <w:szCs w:val="20"/>
        </w:rPr>
        <w:t>获证组织有以下情形之一的，认证机构应在获得相关信息并调查核实后 5 日内撤销其认证证书，并保留相应证据：</w:t>
      </w:r>
    </w:p>
    <w:p w14:paraId="5CE484F0">
      <w:pPr>
        <w:autoSpaceDE/>
        <w:autoSpaceDN/>
        <w:spacing w:line="312" w:lineRule="auto"/>
        <w:ind w:firstLine="420"/>
        <w:rPr>
          <w:rFonts w:hint="eastAsia" w:cs="Times New Roman"/>
          <w:kern w:val="2"/>
          <w:szCs w:val="20"/>
        </w:rPr>
      </w:pPr>
      <w:r>
        <w:rPr>
          <w:rFonts w:hint="eastAsia" w:cs="Times New Roman"/>
          <w:kern w:val="2"/>
          <w:szCs w:val="20"/>
        </w:rPr>
        <w:t>（1）被注销或撤销法律地位证明文件的；</w:t>
      </w:r>
    </w:p>
    <w:p w14:paraId="45CCC327">
      <w:pPr>
        <w:autoSpaceDE/>
        <w:autoSpaceDN/>
        <w:spacing w:line="312" w:lineRule="auto"/>
        <w:ind w:firstLine="420"/>
        <w:rPr>
          <w:rFonts w:hint="eastAsia" w:cs="Times New Roman"/>
          <w:kern w:val="2"/>
          <w:szCs w:val="20"/>
        </w:rPr>
      </w:pPr>
      <w:r>
        <w:rPr>
          <w:rFonts w:hint="eastAsia" w:cs="Times New Roman"/>
          <w:kern w:val="2"/>
          <w:szCs w:val="20"/>
        </w:rPr>
        <w:t>（2）被 “ 国家企业信用信息公示系统”和 “信用中国”列入严重违法失信名单的；</w:t>
      </w:r>
    </w:p>
    <w:p w14:paraId="5B679272">
      <w:pPr>
        <w:autoSpaceDE/>
        <w:autoSpaceDN/>
        <w:spacing w:line="312" w:lineRule="auto"/>
        <w:ind w:firstLine="420"/>
        <w:rPr>
          <w:rFonts w:hint="eastAsia" w:cs="Times New Roman"/>
          <w:kern w:val="2"/>
          <w:szCs w:val="20"/>
        </w:rPr>
      </w:pPr>
      <w:r>
        <w:rPr>
          <w:rFonts w:hint="eastAsia" w:cs="Times New Roman"/>
          <w:kern w:val="2"/>
          <w:szCs w:val="20"/>
        </w:rPr>
        <w:t>（3）认证证书的暂停期限已满，但导致暂停的问题未得到解决或有效纠正的；</w:t>
      </w:r>
    </w:p>
    <w:p w14:paraId="2F6A131B">
      <w:pPr>
        <w:autoSpaceDE/>
        <w:autoSpaceDN/>
        <w:spacing w:line="312" w:lineRule="auto"/>
        <w:ind w:firstLine="420"/>
        <w:rPr>
          <w:rFonts w:hint="eastAsia" w:cs="Times New Roman"/>
          <w:kern w:val="2"/>
          <w:szCs w:val="20"/>
        </w:rPr>
      </w:pPr>
      <w:r>
        <w:rPr>
          <w:rFonts w:hint="eastAsia" w:cs="Times New Roman"/>
          <w:kern w:val="2"/>
          <w:szCs w:val="20"/>
        </w:rPr>
        <w:t>（4）经行政监管部门确认因获证组织违规而造成产品和服务等重大质量安全事故的；</w:t>
      </w:r>
    </w:p>
    <w:p w14:paraId="136BB7AC">
      <w:pPr>
        <w:autoSpaceDE/>
        <w:autoSpaceDN/>
        <w:spacing w:line="312" w:lineRule="auto"/>
        <w:ind w:firstLine="420"/>
        <w:rPr>
          <w:rFonts w:hint="eastAsia" w:cs="Times New Roman"/>
          <w:kern w:val="2"/>
          <w:szCs w:val="20"/>
        </w:rPr>
      </w:pPr>
      <w:r>
        <w:rPr>
          <w:rFonts w:hint="eastAsia" w:cs="Times New Roman"/>
          <w:kern w:val="2"/>
          <w:szCs w:val="20"/>
        </w:rPr>
        <w:t>（5）CXMS 没有运行或者已不具备运行条件的；</w:t>
      </w:r>
    </w:p>
    <w:p w14:paraId="2671F231">
      <w:pPr>
        <w:autoSpaceDE/>
        <w:autoSpaceDN/>
        <w:spacing w:line="312" w:lineRule="auto"/>
        <w:ind w:firstLine="420"/>
        <w:rPr>
          <w:rFonts w:hint="eastAsia" w:cs="Times New Roman"/>
          <w:kern w:val="2"/>
          <w:szCs w:val="20"/>
        </w:rPr>
      </w:pPr>
      <w:r>
        <w:rPr>
          <w:rFonts w:hint="eastAsia" w:cs="Times New Roman"/>
          <w:kern w:val="2"/>
          <w:szCs w:val="20"/>
        </w:rPr>
        <w:t>（6）其他应撤销认证证书的。</w:t>
      </w:r>
    </w:p>
    <w:p w14:paraId="7C64F7D2">
      <w:pPr>
        <w:pStyle w:val="26"/>
        <w:ind w:firstLine="422"/>
        <w:rPr>
          <w:rFonts w:hint="eastAsia"/>
        </w:rPr>
      </w:pPr>
      <w:bookmarkStart w:id="114" w:name="_Toc226880952"/>
      <w:bookmarkStart w:id="115" w:name="_Toc22249"/>
      <w:r>
        <w:rPr>
          <w:rFonts w:hint="eastAsia"/>
        </w:rPr>
        <w:t>7.4  认证证书的注销</w:t>
      </w:r>
      <w:bookmarkEnd w:id="114"/>
      <w:bookmarkEnd w:id="115"/>
    </w:p>
    <w:p w14:paraId="48843211">
      <w:pPr>
        <w:autoSpaceDE/>
        <w:autoSpaceDN/>
        <w:spacing w:line="312" w:lineRule="auto"/>
        <w:ind w:firstLine="420"/>
        <w:rPr>
          <w:rFonts w:hint="eastAsia" w:cs="Times New Roman"/>
          <w:kern w:val="2"/>
          <w:szCs w:val="20"/>
        </w:rPr>
      </w:pPr>
      <w:r>
        <w:rPr>
          <w:rFonts w:hint="eastAsia" w:cs="Times New Roman"/>
          <w:kern w:val="2"/>
          <w:szCs w:val="20"/>
        </w:rPr>
        <w:t>获证组织主动申请不再保持认证证书时，认证机构应确认在不存在暂停或撤销情形后，注销其认证证书，并保留相应证据。</w:t>
      </w:r>
    </w:p>
    <w:bookmarkEnd w:id="102"/>
    <w:bookmarkEnd w:id="103"/>
    <w:bookmarkEnd w:id="104"/>
    <w:bookmarkEnd w:id="105"/>
    <w:bookmarkEnd w:id="106"/>
    <w:bookmarkEnd w:id="107"/>
    <w:p w14:paraId="12819CE8">
      <w:pPr>
        <w:pStyle w:val="2"/>
        <w:rPr>
          <w:rFonts w:ascii="宋体" w:hAnsi="宋体"/>
        </w:rPr>
      </w:pPr>
      <w:bookmarkStart w:id="116" w:name="_Toc32153"/>
      <w:bookmarkStart w:id="117" w:name="_Toc226880953"/>
      <w:bookmarkStart w:id="118" w:name="_Toc200873947"/>
      <w:bookmarkStart w:id="119" w:name="_Toc205390526"/>
      <w:bookmarkStart w:id="120" w:name="_Toc200873928"/>
      <w:bookmarkStart w:id="121" w:name="_Toc26869"/>
      <w:bookmarkStart w:id="122" w:name="_Toc16885"/>
      <w:bookmarkStart w:id="123" w:name="_Toc200875076"/>
      <w:r>
        <w:rPr>
          <w:rFonts w:hint="eastAsia" w:ascii="宋体" w:hAnsi="宋体"/>
        </w:rPr>
        <w:t>8  申诉（投诉）处理</w:t>
      </w:r>
      <w:bookmarkEnd w:id="116"/>
      <w:bookmarkEnd w:id="117"/>
    </w:p>
    <w:p w14:paraId="116D24E2">
      <w:pPr>
        <w:autoSpaceDE/>
        <w:autoSpaceDN/>
        <w:spacing w:line="312" w:lineRule="auto"/>
        <w:ind w:firstLine="420"/>
        <w:rPr>
          <w:rFonts w:hint="eastAsia" w:cs="Times New Roman"/>
          <w:kern w:val="2"/>
          <w:szCs w:val="20"/>
        </w:rPr>
      </w:pPr>
      <w:r>
        <w:rPr>
          <w:rFonts w:hint="eastAsia" w:cs="Times New Roman"/>
          <w:kern w:val="2"/>
          <w:szCs w:val="20"/>
        </w:rPr>
        <w:t>8.1 认证机构应建立并实施文件化的申诉（投诉）处理制度。认证委托人对认证决定有异议的，可以向认证机构提出申诉任何组织和个人对认证过程和认证决定有异议的，可以向认证机构提出投诉。</w:t>
      </w:r>
    </w:p>
    <w:p w14:paraId="232CB936">
      <w:pPr>
        <w:autoSpaceDE/>
        <w:autoSpaceDN/>
        <w:spacing w:line="312" w:lineRule="auto"/>
        <w:ind w:firstLine="420"/>
        <w:rPr>
          <w:rFonts w:hint="eastAsia" w:cs="Times New Roman"/>
          <w:kern w:val="2"/>
          <w:szCs w:val="20"/>
        </w:rPr>
      </w:pPr>
      <w:r>
        <w:rPr>
          <w:rFonts w:hint="eastAsia" w:cs="Times New Roman"/>
          <w:kern w:val="2"/>
          <w:szCs w:val="20"/>
        </w:rPr>
        <w:t>8.2 申诉（投诉）的提交、调查和决定不应造成针对申诉人/投诉人的歧视。认证机构对申诉人（投诉人）、 申诉（投诉）事项的信息应予以保密。</w:t>
      </w:r>
    </w:p>
    <w:p w14:paraId="05CA0E8F">
      <w:pPr>
        <w:autoSpaceDE/>
        <w:autoSpaceDN/>
        <w:spacing w:line="312" w:lineRule="auto"/>
        <w:ind w:firstLine="420"/>
        <w:rPr>
          <w:rFonts w:hint="eastAsia" w:cs="Times New Roman"/>
          <w:kern w:val="2"/>
          <w:szCs w:val="20"/>
        </w:rPr>
      </w:pPr>
      <w:r>
        <w:rPr>
          <w:rFonts w:hint="eastAsia" w:cs="Times New Roman"/>
          <w:kern w:val="2"/>
          <w:szCs w:val="20"/>
        </w:rPr>
        <w:t>8.3 认证机构应及时、公正、有效地处理申诉（投诉），采取必要的纠正措施。对申诉（投诉）的处理决定，应由与申诉（投诉）事项无关的人员做出，或经其审核和批准，并应在 60 日 内将处理结果书面告知申诉人（投诉人）。</w:t>
      </w:r>
    </w:p>
    <w:bookmarkEnd w:id="118"/>
    <w:bookmarkEnd w:id="119"/>
    <w:bookmarkEnd w:id="120"/>
    <w:bookmarkEnd w:id="121"/>
    <w:bookmarkEnd w:id="122"/>
    <w:bookmarkEnd w:id="123"/>
    <w:p w14:paraId="339D316F">
      <w:pPr>
        <w:pStyle w:val="2"/>
        <w:rPr>
          <w:rFonts w:ascii="宋体" w:hAnsi="宋体"/>
        </w:rPr>
      </w:pPr>
      <w:bookmarkStart w:id="124" w:name="_Toc226880954"/>
      <w:bookmarkStart w:id="125" w:name="_Toc24354"/>
      <w:bookmarkStart w:id="126" w:name="_Toc200873948"/>
      <w:bookmarkStart w:id="127" w:name="_Toc205390527"/>
      <w:bookmarkStart w:id="128" w:name="_Toc200875077"/>
      <w:bookmarkStart w:id="129" w:name="_Toc200873932"/>
      <w:r>
        <w:rPr>
          <w:rFonts w:hint="eastAsia" w:ascii="宋体" w:hAnsi="宋体"/>
        </w:rPr>
        <w:t>9  信息公开与报告</w:t>
      </w:r>
      <w:bookmarkEnd w:id="124"/>
      <w:bookmarkEnd w:id="125"/>
    </w:p>
    <w:p w14:paraId="307E2C9E">
      <w:pPr>
        <w:autoSpaceDE/>
        <w:autoSpaceDN/>
        <w:spacing w:line="312" w:lineRule="auto"/>
        <w:ind w:firstLine="420"/>
        <w:rPr>
          <w:rFonts w:hint="eastAsia" w:cs="Times New Roman"/>
          <w:kern w:val="2"/>
          <w:szCs w:val="20"/>
        </w:rPr>
      </w:pPr>
      <w:r>
        <w:rPr>
          <w:rFonts w:hint="eastAsia" w:cs="Times New Roman"/>
          <w:kern w:val="2"/>
          <w:szCs w:val="20"/>
        </w:rPr>
        <w:t>9.1 认证机构应建立并实施文件化的认证信息报告制度。按照国家认监委关于认证信息上报的要求，按时上报认证相关信息，至少包括：</w:t>
      </w:r>
    </w:p>
    <w:p w14:paraId="73827333">
      <w:pPr>
        <w:autoSpaceDE/>
        <w:autoSpaceDN/>
        <w:spacing w:line="312" w:lineRule="auto"/>
        <w:ind w:firstLine="420"/>
        <w:rPr>
          <w:rFonts w:hint="eastAsia" w:cs="Times New Roman"/>
          <w:kern w:val="2"/>
          <w:szCs w:val="20"/>
        </w:rPr>
      </w:pPr>
      <w:r>
        <w:rPr>
          <w:rFonts w:hint="eastAsia" w:cs="Times New Roman"/>
          <w:kern w:val="2"/>
          <w:szCs w:val="20"/>
        </w:rPr>
        <w:t>(1) 上一年度工作报告；</w:t>
      </w:r>
    </w:p>
    <w:p w14:paraId="6E8A6881">
      <w:pPr>
        <w:autoSpaceDE/>
        <w:autoSpaceDN/>
        <w:spacing w:line="312" w:lineRule="auto"/>
        <w:ind w:firstLine="420"/>
        <w:rPr>
          <w:rFonts w:hint="eastAsia" w:cs="Times New Roman"/>
          <w:kern w:val="2"/>
          <w:szCs w:val="20"/>
        </w:rPr>
      </w:pPr>
      <w:r>
        <w:rPr>
          <w:rFonts w:hint="eastAsia" w:cs="Times New Roman"/>
          <w:kern w:val="2"/>
          <w:szCs w:val="20"/>
        </w:rPr>
        <w:t>(2) 社会责任报告；</w:t>
      </w:r>
    </w:p>
    <w:p w14:paraId="4ED81C2A">
      <w:pPr>
        <w:autoSpaceDE/>
        <w:autoSpaceDN/>
        <w:spacing w:line="312" w:lineRule="auto"/>
        <w:ind w:firstLine="420"/>
        <w:rPr>
          <w:rFonts w:hint="eastAsia" w:cs="Times New Roman"/>
          <w:kern w:val="2"/>
          <w:szCs w:val="20"/>
        </w:rPr>
      </w:pPr>
      <w:r>
        <w:rPr>
          <w:rFonts w:hint="eastAsia" w:cs="Times New Roman"/>
          <w:kern w:val="2"/>
          <w:szCs w:val="20"/>
        </w:rPr>
        <w:t>(3) 认证计划及认证结果；</w:t>
      </w:r>
    </w:p>
    <w:p w14:paraId="53BD6879">
      <w:pPr>
        <w:autoSpaceDE/>
        <w:autoSpaceDN/>
        <w:spacing w:line="312" w:lineRule="auto"/>
        <w:ind w:firstLine="420"/>
        <w:rPr>
          <w:rFonts w:hint="eastAsia" w:cs="Times New Roman"/>
          <w:kern w:val="2"/>
          <w:szCs w:val="20"/>
        </w:rPr>
      </w:pPr>
      <w:r>
        <w:rPr>
          <w:rFonts w:hint="eastAsia" w:cs="Times New Roman"/>
          <w:kern w:val="2"/>
          <w:szCs w:val="20"/>
        </w:rPr>
        <w:t>(4) 认证证书的状态；</w:t>
      </w:r>
    </w:p>
    <w:p w14:paraId="245DD568">
      <w:pPr>
        <w:autoSpaceDE/>
        <w:autoSpaceDN/>
        <w:spacing w:line="312" w:lineRule="auto"/>
        <w:ind w:firstLine="420"/>
        <w:rPr>
          <w:rFonts w:hint="eastAsia" w:cs="Times New Roman"/>
          <w:kern w:val="2"/>
          <w:szCs w:val="20"/>
        </w:rPr>
      </w:pPr>
      <w:r>
        <w:rPr>
          <w:rFonts w:hint="eastAsia" w:cs="Times New Roman"/>
          <w:kern w:val="2"/>
          <w:szCs w:val="20"/>
        </w:rPr>
        <w:t>(5) 其他应报告的信息。</w:t>
      </w:r>
    </w:p>
    <w:p w14:paraId="3ED0BC64">
      <w:pPr>
        <w:autoSpaceDE/>
        <w:autoSpaceDN/>
        <w:spacing w:line="312" w:lineRule="auto"/>
        <w:ind w:firstLine="420"/>
        <w:rPr>
          <w:rFonts w:hint="eastAsia" w:cs="Times New Roman"/>
          <w:kern w:val="2"/>
          <w:szCs w:val="20"/>
        </w:rPr>
      </w:pPr>
      <w:r>
        <w:rPr>
          <w:rFonts w:hint="eastAsia" w:cs="Times New Roman"/>
          <w:kern w:val="2"/>
          <w:szCs w:val="20"/>
        </w:rPr>
        <w:t>9.2 认证机构应至少在现场审核实施前 3 日，将审核计划上报国家认监委。</w:t>
      </w:r>
    </w:p>
    <w:p w14:paraId="68D81859">
      <w:pPr>
        <w:autoSpaceDE/>
        <w:autoSpaceDN/>
        <w:spacing w:line="312" w:lineRule="auto"/>
        <w:ind w:firstLine="420"/>
        <w:rPr>
          <w:rFonts w:hint="eastAsia" w:cs="Times New Roman"/>
          <w:kern w:val="2"/>
          <w:szCs w:val="20"/>
        </w:rPr>
      </w:pPr>
      <w:r>
        <w:rPr>
          <w:rFonts w:hint="eastAsia" w:cs="Times New Roman"/>
          <w:kern w:val="2"/>
          <w:szCs w:val="20"/>
        </w:rPr>
        <w:t>9.3 认证机构在颁发认证证书后，应在次月 10 日前将认证结果相关信息报送国家认监委。</w:t>
      </w:r>
    </w:p>
    <w:p w14:paraId="452B0E3C">
      <w:pPr>
        <w:autoSpaceDE/>
        <w:autoSpaceDN/>
        <w:spacing w:line="312" w:lineRule="auto"/>
        <w:ind w:firstLine="420"/>
        <w:rPr>
          <w:rFonts w:hint="eastAsia" w:cs="Times New Roman"/>
          <w:kern w:val="2"/>
          <w:szCs w:val="20"/>
        </w:rPr>
      </w:pPr>
      <w:r>
        <w:rPr>
          <w:rFonts w:hint="eastAsia" w:cs="Times New Roman"/>
          <w:kern w:val="2"/>
          <w:szCs w:val="20"/>
        </w:rPr>
        <w:t>认证机构应通过其网站或者其他形式， 向公众提供查询认证证书有效性的方式，不得仅提供 “ 国家认监委”或 “全国认证认可信息公共服务平台（认 e 云）”查询路径。</w:t>
      </w:r>
    </w:p>
    <w:p w14:paraId="1FCDEFF6">
      <w:pPr>
        <w:autoSpaceDE/>
        <w:autoSpaceDN/>
        <w:spacing w:line="312" w:lineRule="auto"/>
        <w:ind w:firstLine="420"/>
        <w:rPr>
          <w:rFonts w:hint="eastAsia" w:cs="Times New Roman"/>
          <w:kern w:val="2"/>
          <w:szCs w:val="20"/>
        </w:rPr>
      </w:pPr>
      <w:r>
        <w:rPr>
          <w:rFonts w:hint="eastAsia" w:cs="Times New Roman"/>
          <w:kern w:val="2"/>
          <w:szCs w:val="20"/>
        </w:rPr>
        <w:t>9.4 认证机构应通过其网站或者其他方式公开暂停、撤销、注销认证证书的信息。暂停认证证书的，还应明确暂停的起始日期和暂停期限。认证机构应在暂停、撤销、注销认证证书之日起2 个工作日内，按规定程序和要求将相关信息报送国家认监委。</w:t>
      </w:r>
    </w:p>
    <w:p w14:paraId="3A7B73E1">
      <w:pPr>
        <w:autoSpaceDE/>
        <w:autoSpaceDN/>
        <w:spacing w:line="312" w:lineRule="auto"/>
        <w:ind w:firstLine="420"/>
        <w:rPr>
          <w:rFonts w:hint="eastAsia" w:cs="Times New Roman"/>
          <w:kern w:val="2"/>
          <w:szCs w:val="20"/>
        </w:rPr>
      </w:pPr>
      <w:r>
        <w:rPr>
          <w:rFonts w:hint="eastAsia" w:cs="Times New Roman"/>
          <w:kern w:val="2"/>
          <w:szCs w:val="20"/>
        </w:rPr>
        <w:t>9.5 获证组织发生重大质量事故的，认证机构应对该组织的认证过程进行自查，并按照认证行政监管部门的要求，在规定的时间内提供相关认证材料。</w:t>
      </w:r>
    </w:p>
    <w:p w14:paraId="2D194B77">
      <w:pPr>
        <w:pStyle w:val="2"/>
        <w:rPr>
          <w:rFonts w:ascii="宋体" w:hAnsi="宋体"/>
        </w:rPr>
      </w:pPr>
      <w:bookmarkStart w:id="130" w:name="_Toc9321"/>
      <w:bookmarkStart w:id="131" w:name="_Toc226880955"/>
      <w:r>
        <w:rPr>
          <w:rFonts w:hint="eastAsia" w:ascii="宋体" w:hAnsi="宋体"/>
        </w:rPr>
        <w:t>10  认证记录</w:t>
      </w:r>
      <w:bookmarkEnd w:id="130"/>
      <w:bookmarkEnd w:id="131"/>
    </w:p>
    <w:p w14:paraId="3E70EE12">
      <w:pPr>
        <w:autoSpaceDE/>
        <w:autoSpaceDN/>
        <w:spacing w:line="312" w:lineRule="auto"/>
        <w:ind w:firstLine="420"/>
        <w:rPr>
          <w:rFonts w:hint="eastAsia" w:cs="Times New Roman"/>
          <w:kern w:val="2"/>
          <w:szCs w:val="20"/>
        </w:rPr>
      </w:pPr>
      <w:r>
        <w:rPr>
          <w:rFonts w:hint="eastAsia" w:cs="Times New Roman"/>
          <w:kern w:val="2"/>
          <w:szCs w:val="20"/>
        </w:rPr>
        <w:t>10.1 认证机构应建立文件化的认证记录、认证资料归档留存制度，记录认证活动全过程并妥善保存。 归档留存期限为认证证书有效期届满之日起2年以上，或被注销、撤销之日起2年以上。</w:t>
      </w:r>
    </w:p>
    <w:p w14:paraId="0D69FA37">
      <w:pPr>
        <w:autoSpaceDE/>
        <w:autoSpaceDN/>
        <w:spacing w:line="312" w:lineRule="auto"/>
        <w:ind w:firstLine="420"/>
        <w:rPr>
          <w:rFonts w:hint="eastAsia" w:cs="Times New Roman"/>
          <w:kern w:val="2"/>
          <w:szCs w:val="20"/>
        </w:rPr>
      </w:pPr>
      <w:r>
        <w:rPr>
          <w:rFonts w:hint="eastAsia" w:cs="Times New Roman"/>
          <w:kern w:val="2"/>
          <w:szCs w:val="20"/>
        </w:rPr>
        <w:t>10.2 认证记录应真实、准确、完整， 以证实认证活动得到有效实施。认证记录包括但不限于：</w:t>
      </w:r>
    </w:p>
    <w:p w14:paraId="35B0C302">
      <w:pPr>
        <w:autoSpaceDE/>
        <w:autoSpaceDN/>
        <w:spacing w:line="312" w:lineRule="auto"/>
        <w:ind w:firstLine="420"/>
        <w:rPr>
          <w:rFonts w:hint="eastAsia" w:cs="Times New Roman"/>
          <w:kern w:val="2"/>
          <w:szCs w:val="20"/>
        </w:rPr>
      </w:pPr>
      <w:r>
        <w:rPr>
          <w:rFonts w:hint="eastAsia"/>
        </w:rPr>
        <w:t>（</w:t>
      </w:r>
      <w:r>
        <w:rPr>
          <w:rFonts w:hint="eastAsia" w:cs="Times New Roman"/>
          <w:kern w:val="2"/>
          <w:szCs w:val="20"/>
        </w:rPr>
        <w:t>1）认证申请书；</w:t>
      </w:r>
    </w:p>
    <w:p w14:paraId="5935F1F3">
      <w:pPr>
        <w:autoSpaceDE/>
        <w:autoSpaceDN/>
        <w:spacing w:line="312" w:lineRule="auto"/>
        <w:ind w:firstLine="420"/>
        <w:rPr>
          <w:rFonts w:hint="eastAsia" w:cs="Times New Roman"/>
          <w:kern w:val="2"/>
          <w:szCs w:val="20"/>
        </w:rPr>
      </w:pPr>
      <w:r>
        <w:rPr>
          <w:rFonts w:hint="eastAsia" w:cs="Times New Roman"/>
          <w:kern w:val="2"/>
          <w:szCs w:val="20"/>
        </w:rPr>
        <w:t>（2）认证申请评审记录；</w:t>
      </w:r>
    </w:p>
    <w:p w14:paraId="058FE966">
      <w:pPr>
        <w:autoSpaceDE/>
        <w:autoSpaceDN/>
        <w:spacing w:line="312" w:lineRule="auto"/>
        <w:ind w:firstLine="420"/>
        <w:rPr>
          <w:rFonts w:hint="eastAsia" w:cs="Times New Roman"/>
          <w:kern w:val="2"/>
          <w:szCs w:val="20"/>
        </w:rPr>
      </w:pPr>
      <w:r>
        <w:rPr>
          <w:rFonts w:hint="eastAsia" w:cs="Times New Roman"/>
          <w:kern w:val="2"/>
          <w:szCs w:val="20"/>
        </w:rPr>
        <w:t>（3）认证合同；</w:t>
      </w:r>
    </w:p>
    <w:p w14:paraId="7CF993AA">
      <w:pPr>
        <w:autoSpaceDE/>
        <w:autoSpaceDN/>
        <w:spacing w:line="312" w:lineRule="auto"/>
        <w:ind w:firstLine="420"/>
        <w:rPr>
          <w:rFonts w:hint="eastAsia" w:cs="Times New Roman"/>
          <w:kern w:val="2"/>
          <w:szCs w:val="20"/>
        </w:rPr>
      </w:pPr>
      <w:r>
        <w:rPr>
          <w:rFonts w:hint="eastAsia" w:cs="Times New Roman"/>
          <w:kern w:val="2"/>
          <w:szCs w:val="20"/>
        </w:rPr>
        <w:t>（4）审核方案，包括多场所抽样方法（适用时）；</w:t>
      </w:r>
    </w:p>
    <w:p w14:paraId="0DA2E802">
      <w:pPr>
        <w:autoSpaceDE/>
        <w:autoSpaceDN/>
        <w:spacing w:line="312" w:lineRule="auto"/>
        <w:ind w:firstLine="420"/>
        <w:rPr>
          <w:rFonts w:hint="eastAsia" w:cs="Times New Roman"/>
          <w:kern w:val="2"/>
          <w:szCs w:val="20"/>
        </w:rPr>
      </w:pPr>
      <w:r>
        <w:rPr>
          <w:rFonts w:hint="eastAsia" w:cs="Times New Roman"/>
          <w:kern w:val="2"/>
          <w:szCs w:val="20"/>
        </w:rPr>
        <w:t>（5）确定</w:t>
      </w:r>
      <w:r>
        <w:rPr>
          <w:rFonts w:hint="eastAsia"/>
        </w:rPr>
        <w:t>审核</w:t>
      </w:r>
      <w:r>
        <w:rPr>
          <w:rFonts w:hint="eastAsia" w:cs="Times New Roman"/>
          <w:kern w:val="2"/>
          <w:szCs w:val="20"/>
        </w:rPr>
        <w:t>时间的理由（计算过程）；</w:t>
      </w:r>
    </w:p>
    <w:p w14:paraId="3DAB42F5">
      <w:pPr>
        <w:autoSpaceDE/>
        <w:autoSpaceDN/>
        <w:spacing w:line="312" w:lineRule="auto"/>
        <w:ind w:firstLine="420"/>
        <w:rPr>
          <w:rFonts w:hint="eastAsia" w:cs="Times New Roman"/>
          <w:kern w:val="2"/>
          <w:szCs w:val="20"/>
        </w:rPr>
      </w:pPr>
      <w:r>
        <w:rPr>
          <w:rFonts w:hint="eastAsia" w:cs="Times New Roman"/>
          <w:kern w:val="2"/>
          <w:szCs w:val="20"/>
        </w:rPr>
        <w:t>（6）审核计划；</w:t>
      </w:r>
    </w:p>
    <w:p w14:paraId="6E348D9D">
      <w:pPr>
        <w:autoSpaceDE/>
        <w:autoSpaceDN/>
        <w:spacing w:line="312" w:lineRule="auto"/>
        <w:ind w:firstLine="420"/>
        <w:rPr>
          <w:rFonts w:hint="eastAsia" w:cs="Times New Roman"/>
          <w:kern w:val="2"/>
          <w:szCs w:val="20"/>
        </w:rPr>
      </w:pPr>
      <w:r>
        <w:rPr>
          <w:rFonts w:hint="eastAsia" w:cs="Times New Roman"/>
          <w:kern w:val="2"/>
          <w:szCs w:val="20"/>
        </w:rPr>
        <w:t>（7）首、末次会议签到表；</w:t>
      </w:r>
    </w:p>
    <w:p w14:paraId="7129AD5A">
      <w:pPr>
        <w:autoSpaceDE/>
        <w:autoSpaceDN/>
        <w:spacing w:line="312" w:lineRule="auto"/>
        <w:ind w:firstLine="420"/>
        <w:rPr>
          <w:rFonts w:hint="eastAsia" w:cs="Times New Roman"/>
          <w:kern w:val="2"/>
          <w:szCs w:val="20"/>
        </w:rPr>
      </w:pPr>
      <w:r>
        <w:rPr>
          <w:rFonts w:hint="eastAsia" w:cs="Times New Roman"/>
          <w:kern w:val="2"/>
          <w:szCs w:val="20"/>
        </w:rPr>
        <w:t>（8）现场审核记录；</w:t>
      </w:r>
    </w:p>
    <w:p w14:paraId="66EC567F">
      <w:pPr>
        <w:autoSpaceDE/>
        <w:autoSpaceDN/>
        <w:spacing w:line="312" w:lineRule="auto"/>
        <w:ind w:firstLine="420"/>
        <w:rPr>
          <w:rFonts w:hint="eastAsia" w:cs="Times New Roman"/>
          <w:kern w:val="2"/>
          <w:szCs w:val="20"/>
        </w:rPr>
      </w:pPr>
      <w:r>
        <w:rPr>
          <w:rFonts w:hint="eastAsia" w:cs="Times New Roman"/>
          <w:kern w:val="2"/>
          <w:szCs w:val="20"/>
        </w:rPr>
        <w:t>（9）不符合报告及验证记录；</w:t>
      </w:r>
    </w:p>
    <w:p w14:paraId="13BF2945">
      <w:pPr>
        <w:autoSpaceDE/>
        <w:autoSpaceDN/>
        <w:spacing w:line="312" w:lineRule="auto"/>
        <w:ind w:firstLine="420"/>
        <w:rPr>
          <w:rFonts w:hint="eastAsia" w:cs="Times New Roman"/>
          <w:kern w:val="2"/>
          <w:szCs w:val="20"/>
        </w:rPr>
      </w:pPr>
      <w:r>
        <w:rPr>
          <w:rFonts w:hint="eastAsia" w:cs="Times New Roman"/>
          <w:kern w:val="2"/>
          <w:szCs w:val="20"/>
        </w:rPr>
        <w:t>（10）审核报告；</w:t>
      </w:r>
    </w:p>
    <w:p w14:paraId="279EFB75">
      <w:pPr>
        <w:autoSpaceDE/>
        <w:autoSpaceDN/>
        <w:spacing w:line="312" w:lineRule="auto"/>
        <w:ind w:firstLine="420"/>
        <w:rPr>
          <w:rFonts w:hint="eastAsia"/>
        </w:rPr>
      </w:pPr>
      <w:r>
        <w:rPr>
          <w:rFonts w:hint="eastAsia"/>
        </w:rPr>
        <w:t>（11）认证决定记录。</w:t>
      </w:r>
    </w:p>
    <w:p w14:paraId="1921849C">
      <w:pPr>
        <w:autoSpaceDE/>
        <w:autoSpaceDN/>
        <w:spacing w:line="312" w:lineRule="auto"/>
        <w:ind w:firstLine="420"/>
        <w:rPr>
          <w:rFonts w:hint="eastAsia"/>
        </w:rPr>
      </w:pPr>
      <w:r>
        <w:rPr>
          <w:rFonts w:hint="eastAsia"/>
        </w:rPr>
        <w:t>10.3 在认证证书有效期内，认证活动参与各方签字或者盖章的认证记录、资料等，应保存具有法律效力的原件，可以纸质文件或符合《电子签名法》规定的电子文件形式保存。签字或盖章的认证记录至少包括：</w:t>
      </w:r>
    </w:p>
    <w:p w14:paraId="35E904A0">
      <w:pPr>
        <w:autoSpaceDE/>
        <w:autoSpaceDN/>
        <w:spacing w:line="312" w:lineRule="auto"/>
        <w:ind w:firstLine="420"/>
        <w:rPr>
          <w:rFonts w:hint="eastAsia"/>
        </w:rPr>
      </w:pPr>
      <w:r>
        <w:rPr>
          <w:rFonts w:hint="eastAsia"/>
        </w:rPr>
        <w:t>（1）认证申请书；</w:t>
      </w:r>
    </w:p>
    <w:p w14:paraId="4763518E">
      <w:pPr>
        <w:autoSpaceDE/>
        <w:autoSpaceDN/>
        <w:spacing w:line="312" w:lineRule="auto"/>
        <w:ind w:firstLine="420"/>
        <w:rPr>
          <w:rFonts w:hint="eastAsia"/>
        </w:rPr>
      </w:pPr>
      <w:r>
        <w:rPr>
          <w:rFonts w:hint="eastAsia"/>
        </w:rPr>
        <w:t>（2）认证合同；</w:t>
      </w:r>
    </w:p>
    <w:p w14:paraId="483C8FD9">
      <w:pPr>
        <w:autoSpaceDE/>
        <w:autoSpaceDN/>
        <w:spacing w:line="312" w:lineRule="auto"/>
        <w:ind w:firstLine="420"/>
        <w:rPr>
          <w:rFonts w:hint="eastAsia"/>
        </w:rPr>
      </w:pPr>
      <w:r>
        <w:rPr>
          <w:rFonts w:hint="eastAsia"/>
        </w:rPr>
        <w:t>（3）审核计划；</w:t>
      </w:r>
    </w:p>
    <w:p w14:paraId="56675AD0">
      <w:pPr>
        <w:autoSpaceDE/>
        <w:autoSpaceDN/>
        <w:spacing w:line="312" w:lineRule="auto"/>
        <w:ind w:firstLine="420"/>
        <w:rPr>
          <w:rFonts w:hint="eastAsia"/>
        </w:rPr>
      </w:pPr>
      <w:r>
        <w:rPr>
          <w:rFonts w:hint="eastAsia"/>
        </w:rPr>
        <w:t>（4）首、末次会议签到表；</w:t>
      </w:r>
    </w:p>
    <w:p w14:paraId="5613B561">
      <w:pPr>
        <w:autoSpaceDE/>
        <w:autoSpaceDN/>
        <w:spacing w:line="312" w:lineRule="auto"/>
        <w:ind w:firstLine="420"/>
        <w:rPr>
          <w:rFonts w:hint="eastAsia"/>
        </w:rPr>
      </w:pPr>
      <w:r>
        <w:rPr>
          <w:rFonts w:hint="eastAsia"/>
        </w:rPr>
        <w:t>（5）不符合报告；</w:t>
      </w:r>
    </w:p>
    <w:p w14:paraId="4D221F95">
      <w:pPr>
        <w:autoSpaceDE/>
        <w:autoSpaceDN/>
        <w:spacing w:line="312" w:lineRule="auto"/>
        <w:ind w:firstLine="420"/>
        <w:rPr>
          <w:rFonts w:hint="eastAsia"/>
        </w:rPr>
      </w:pPr>
      <w:r>
        <w:rPr>
          <w:rFonts w:hint="eastAsia"/>
        </w:rPr>
        <w:t>（6）认证决定的结论。</w:t>
      </w:r>
    </w:p>
    <w:p w14:paraId="31226CB3">
      <w:pPr>
        <w:autoSpaceDE/>
        <w:autoSpaceDN/>
        <w:spacing w:line="312" w:lineRule="auto"/>
        <w:ind w:firstLine="420"/>
        <w:rPr>
          <w:rFonts w:hint="eastAsia"/>
        </w:rPr>
      </w:pPr>
      <w:r>
        <w:rPr>
          <w:rFonts w:hint="eastAsia"/>
        </w:rPr>
        <w:t>10.4 认证记录应使用中文， 以电子文档形式保存认证记录的，应采用不可编辑的方式。</w:t>
      </w:r>
    </w:p>
    <w:p w14:paraId="10B0D324">
      <w:pPr>
        <w:autoSpaceDE/>
        <w:autoSpaceDN/>
        <w:spacing w:line="312" w:lineRule="auto"/>
        <w:ind w:firstLine="420"/>
        <w:rPr>
          <w:rFonts w:hint="eastAsia"/>
        </w:rPr>
      </w:pPr>
      <w:r>
        <w:rPr>
          <w:rFonts w:hint="eastAsia"/>
        </w:rPr>
        <w:t>10.5 为 了证实认证活动的实施，除了认证机构要保持上述认证记录外，获证组织应留存认证证书有效期内相应的认证记录，至少包括：</w:t>
      </w:r>
    </w:p>
    <w:p w14:paraId="6AA0C3D3">
      <w:pPr>
        <w:autoSpaceDE/>
        <w:autoSpaceDN/>
        <w:spacing w:line="312" w:lineRule="auto"/>
        <w:ind w:firstLine="420"/>
        <w:rPr>
          <w:rFonts w:hint="eastAsia"/>
        </w:rPr>
      </w:pPr>
      <w:r>
        <w:rPr>
          <w:rFonts w:hint="eastAsia"/>
        </w:rPr>
        <w:t>（1）认证合同；</w:t>
      </w:r>
    </w:p>
    <w:p w14:paraId="348554E3">
      <w:pPr>
        <w:autoSpaceDE/>
        <w:autoSpaceDN/>
        <w:spacing w:line="312" w:lineRule="auto"/>
        <w:ind w:firstLine="420"/>
        <w:rPr>
          <w:rFonts w:hint="eastAsia"/>
        </w:rPr>
      </w:pPr>
      <w:r>
        <w:rPr>
          <w:rFonts w:hint="eastAsia"/>
        </w:rPr>
        <w:t>（2）审核计划；</w:t>
      </w:r>
    </w:p>
    <w:p w14:paraId="7A165D21">
      <w:pPr>
        <w:autoSpaceDE/>
        <w:autoSpaceDN/>
        <w:spacing w:line="312" w:lineRule="auto"/>
        <w:ind w:firstLine="420"/>
        <w:rPr>
          <w:rFonts w:hint="eastAsia"/>
        </w:rPr>
      </w:pPr>
      <w:r>
        <w:rPr>
          <w:rFonts w:hint="eastAsia"/>
        </w:rPr>
        <w:t>（3）首、末次会议签到表；</w:t>
      </w:r>
    </w:p>
    <w:p w14:paraId="46FFC4EE">
      <w:pPr>
        <w:autoSpaceDE/>
        <w:autoSpaceDN/>
        <w:spacing w:line="312" w:lineRule="auto"/>
        <w:ind w:firstLine="420"/>
        <w:rPr>
          <w:rFonts w:hint="eastAsia"/>
        </w:rPr>
      </w:pPr>
      <w:r>
        <w:rPr>
          <w:rFonts w:hint="eastAsia"/>
        </w:rPr>
        <w:t>（4）不符合报告及原因分析和纠正措施；</w:t>
      </w:r>
    </w:p>
    <w:p w14:paraId="5D32C7BC">
      <w:pPr>
        <w:autoSpaceDE/>
        <w:autoSpaceDN/>
        <w:spacing w:line="312" w:lineRule="auto"/>
        <w:ind w:firstLine="420"/>
        <w:rPr>
          <w:rFonts w:hint="eastAsia"/>
        </w:rPr>
      </w:pPr>
      <w:r>
        <w:rPr>
          <w:rFonts w:hint="eastAsia"/>
        </w:rPr>
        <w:t>（5）审核报告；</w:t>
      </w:r>
    </w:p>
    <w:p w14:paraId="00255902">
      <w:pPr>
        <w:autoSpaceDE/>
        <w:autoSpaceDN/>
        <w:spacing w:line="312" w:lineRule="auto"/>
        <w:ind w:firstLine="420"/>
        <w:rPr>
          <w:rFonts w:hint="eastAsia"/>
        </w:rPr>
      </w:pPr>
      <w:r>
        <w:rPr>
          <w:rFonts w:hint="eastAsia"/>
        </w:rPr>
        <w:t>（6）暂停、撤销通知（适用时 ）。</w:t>
      </w:r>
    </w:p>
    <w:p w14:paraId="33D44FCF">
      <w:pPr>
        <w:pStyle w:val="2"/>
        <w:rPr>
          <w:rFonts w:ascii="宋体" w:hAnsi="宋体"/>
        </w:rPr>
      </w:pPr>
      <w:bookmarkStart w:id="132" w:name="_Toc226880956"/>
      <w:bookmarkStart w:id="133" w:name="_Toc5862"/>
      <w:r>
        <w:rPr>
          <w:rFonts w:hint="eastAsia" w:ascii="宋体" w:hAnsi="宋体"/>
        </w:rPr>
        <w:t>11  其他</w:t>
      </w:r>
      <w:bookmarkEnd w:id="132"/>
      <w:bookmarkEnd w:id="133"/>
    </w:p>
    <w:p w14:paraId="730686DF">
      <w:pPr>
        <w:pStyle w:val="26"/>
        <w:ind w:firstLine="422"/>
        <w:rPr>
          <w:rFonts w:hint="eastAsia"/>
        </w:rPr>
      </w:pPr>
      <w:bookmarkStart w:id="134" w:name="_Toc226880957"/>
      <w:bookmarkStart w:id="135" w:name="_Toc14503"/>
      <w:r>
        <w:rPr>
          <w:rFonts w:hint="eastAsia"/>
        </w:rPr>
        <w:t>11.1  认证标准换版</w:t>
      </w:r>
      <w:bookmarkEnd w:id="134"/>
      <w:bookmarkEnd w:id="135"/>
    </w:p>
    <w:p w14:paraId="5C711CF6">
      <w:pPr>
        <w:ind w:firstLine="420"/>
        <w:rPr>
          <w:rFonts w:hint="eastAsia"/>
        </w:rPr>
      </w:pPr>
      <w:r>
        <w:rPr>
          <w:rFonts w:hint="eastAsia"/>
        </w:rPr>
        <w:t>认证机构应按照国家认监委发布的管理体系认证标准换版工作要求，落实标准的换版工作，确保认证委托人能够及时获得新版标准认证。</w:t>
      </w:r>
    </w:p>
    <w:p w14:paraId="7A70DE42">
      <w:pPr>
        <w:pStyle w:val="26"/>
        <w:ind w:firstLine="422"/>
        <w:rPr>
          <w:rFonts w:hint="eastAsia"/>
        </w:rPr>
      </w:pPr>
      <w:bookmarkStart w:id="136" w:name="_Toc26409"/>
      <w:bookmarkStart w:id="137" w:name="_Toc226880958"/>
      <w:r>
        <w:rPr>
          <w:rFonts w:hint="eastAsia"/>
        </w:rPr>
        <w:t>11.2  内部审核</w:t>
      </w:r>
      <w:bookmarkEnd w:id="136"/>
      <w:bookmarkEnd w:id="137"/>
    </w:p>
    <w:p w14:paraId="570B8276">
      <w:pPr>
        <w:ind w:firstLine="420"/>
        <w:rPr>
          <w:rFonts w:hint="eastAsia"/>
        </w:rPr>
      </w:pPr>
      <w:r>
        <w:rPr>
          <w:rFonts w:hint="eastAsia"/>
        </w:rPr>
        <w:t>认证机构应建立并实施文件化的内部审核程序，确保至少每年对CXMS认证开展情况实施内部审核。 内部审核应包括对本规则执行情况的自查，并保持相应记录和报告。</w:t>
      </w:r>
    </w:p>
    <w:p w14:paraId="6F98C5B3">
      <w:pPr>
        <w:pStyle w:val="26"/>
        <w:ind w:firstLine="422"/>
        <w:rPr>
          <w:rFonts w:hint="eastAsia"/>
        </w:rPr>
      </w:pPr>
      <w:bookmarkStart w:id="138" w:name="_Toc226880959"/>
      <w:bookmarkStart w:id="139" w:name="_Toc25093"/>
      <w:r>
        <w:rPr>
          <w:rFonts w:hint="eastAsia"/>
        </w:rPr>
        <w:t>11.3  同行评议</w:t>
      </w:r>
      <w:bookmarkEnd w:id="138"/>
      <w:bookmarkEnd w:id="139"/>
    </w:p>
    <w:p w14:paraId="52E56640">
      <w:pPr>
        <w:ind w:firstLine="420"/>
        <w:rPr>
          <w:rFonts w:hint="eastAsia"/>
        </w:rPr>
      </w:pPr>
      <w:r>
        <w:rPr>
          <w:rFonts w:hint="eastAsia"/>
        </w:rPr>
        <w:t>认证机构应积极配合国家认监委组织安排的对本机构实施的同行评议活动，并在要求的时间内对同行评议中发现的CXMS认证活动存在的问题采取有效的纠正措施， 以持续符合本规则的要求。</w:t>
      </w:r>
    </w:p>
    <w:p w14:paraId="459099C3">
      <w:pPr>
        <w:pStyle w:val="26"/>
        <w:ind w:firstLine="422"/>
        <w:rPr>
          <w:rFonts w:hint="eastAsia"/>
        </w:rPr>
      </w:pPr>
      <w:bookmarkStart w:id="140" w:name="_Toc226880960"/>
      <w:bookmarkStart w:id="141" w:name="_Toc22842"/>
      <w:r>
        <w:rPr>
          <w:rFonts w:hint="eastAsia"/>
        </w:rPr>
        <w:t>11.4  CXMS技术服务</w:t>
      </w:r>
      <w:bookmarkEnd w:id="140"/>
      <w:bookmarkEnd w:id="141"/>
    </w:p>
    <w:p w14:paraId="5767B8FC">
      <w:pPr>
        <w:ind w:firstLine="420"/>
        <w:rPr>
          <w:rFonts w:hint="eastAsia"/>
        </w:rPr>
      </w:pPr>
      <w:r>
        <w:rPr>
          <w:rFonts w:hint="eastAsia"/>
        </w:rPr>
        <w:t>11.4.1 认证机构可为组织提供GB/T 31950-2023《企业诚信管理体系  要求》贯标服务，但不得代替组织编制CXMS 文件、开展内部审核和管理评审，严禁协助组织编造虚假管理体系文件、体系运行记录等。</w:t>
      </w:r>
    </w:p>
    <w:p w14:paraId="41309202">
      <w:pPr>
        <w:ind w:firstLine="420"/>
        <w:rPr>
          <w:rFonts w:hint="eastAsia"/>
        </w:rPr>
      </w:pPr>
      <w:r>
        <w:rPr>
          <w:rFonts w:hint="eastAsia"/>
        </w:rPr>
        <w:t>11.4.2 为确保没有利益冲突，参与对某组织CXMS技术服务的人员，2 年内不应被认证机构安排针对该组织的审核或其他认证活动。</w:t>
      </w:r>
    </w:p>
    <w:p w14:paraId="7F5E373B">
      <w:pPr>
        <w:pStyle w:val="26"/>
        <w:ind w:firstLine="422"/>
        <w:rPr>
          <w:rFonts w:hint="eastAsia"/>
        </w:rPr>
      </w:pPr>
      <w:bookmarkStart w:id="142" w:name="_Toc2926"/>
      <w:bookmarkStart w:id="143" w:name="_Toc226880961"/>
      <w:r>
        <w:rPr>
          <w:rFonts w:hint="eastAsia"/>
        </w:rPr>
        <w:t>11.5  认证数据安全</w:t>
      </w:r>
      <w:bookmarkEnd w:id="142"/>
      <w:bookmarkEnd w:id="143"/>
    </w:p>
    <w:p w14:paraId="5C79D0D6">
      <w:pPr>
        <w:ind w:firstLine="420"/>
        <w:rPr>
          <w:rFonts w:hint="eastAsia"/>
        </w:rPr>
      </w:pPr>
      <w:r>
        <w:rPr>
          <w:rFonts w:hint="eastAsia"/>
        </w:rPr>
        <w:t>认证机构应严格落实《中华人民共和国数据安全法》和《中华人民共和国网络安全法》等法律法规要求，在中华人民共和国境内开展CXMS认证活动中收集和产生的重要信息和数据应当在境内存储，确保信息和数据处于有效保护和合法利用的状态。</w:t>
      </w:r>
    </w:p>
    <w:p w14:paraId="484D8C11">
      <w:pPr>
        <w:pStyle w:val="2"/>
        <w:ind w:firstLine="482"/>
        <w:rPr>
          <w:rFonts w:hint="eastAsia" w:ascii="宋体" w:hAnsi="宋体"/>
        </w:rPr>
      </w:pPr>
      <w:bookmarkStart w:id="144" w:name="_Toc32717"/>
      <w:bookmarkStart w:id="145" w:name="_Toc226880962"/>
      <w:r>
        <w:rPr>
          <w:rFonts w:hint="eastAsia" w:ascii="宋体" w:hAnsi="宋体"/>
        </w:rPr>
        <w:t>12  附则</w:t>
      </w:r>
      <w:bookmarkEnd w:id="144"/>
      <w:bookmarkEnd w:id="145"/>
    </w:p>
    <w:p w14:paraId="62033859">
      <w:pPr>
        <w:ind w:firstLine="420"/>
        <w:rPr>
          <w:rFonts w:hint="eastAsia"/>
        </w:rPr>
      </w:pPr>
      <w:bookmarkStart w:id="146" w:name="_Toc226880963"/>
      <w:bookmarkStart w:id="147" w:name="_Toc226880568"/>
      <w:r>
        <w:rPr>
          <w:rFonts w:hint="eastAsia"/>
        </w:rPr>
        <w:t>12.1  术语及释义</w:t>
      </w:r>
      <w:bookmarkEnd w:id="146"/>
      <w:bookmarkEnd w:id="147"/>
    </w:p>
    <w:p w14:paraId="309595CF">
      <w:pPr>
        <w:ind w:firstLine="420"/>
        <w:rPr>
          <w:rFonts w:hint="eastAsia"/>
        </w:rPr>
      </w:pPr>
      <w:r>
        <w:rPr>
          <w:rFonts w:hint="eastAsia"/>
        </w:rPr>
        <w:t>12.1.1 认证人员：指从事认证活动的人员，及认证机构的业务管理人员。</w:t>
      </w:r>
    </w:p>
    <w:p w14:paraId="75A0FA1E">
      <w:pPr>
        <w:ind w:firstLine="420"/>
        <w:rPr>
          <w:rFonts w:hint="eastAsia"/>
        </w:rPr>
      </w:pPr>
      <w:r>
        <w:rPr>
          <w:rFonts w:hint="eastAsia"/>
        </w:rPr>
        <w:t>12.1.2 认证委托人： 申请认证并接受认证审核的组织。</w:t>
      </w:r>
    </w:p>
    <w:p w14:paraId="3BA83B86">
      <w:pPr>
        <w:ind w:firstLine="420"/>
        <w:rPr>
          <w:rFonts w:hint="eastAsia"/>
        </w:rPr>
      </w:pPr>
      <w:r>
        <w:rPr>
          <w:rFonts w:hint="eastAsia"/>
        </w:rPr>
        <w:t>12.1.3CXMS 认证业务范围： 以CXMS 相关过程及预期结果的共性为特征的领域。</w:t>
      </w:r>
    </w:p>
    <w:p w14:paraId="40004970">
      <w:pPr>
        <w:ind w:firstLine="420"/>
        <w:rPr>
          <w:rFonts w:hint="eastAsia"/>
        </w:rPr>
      </w:pPr>
      <w:r>
        <w:rPr>
          <w:rFonts w:hint="eastAsia"/>
        </w:rPr>
        <w:t>注：认证业务范围类别与质量管理体系范围内的产品、过程和服务有关，认证业务范围也被称作 “技术领域” “业务类别” “行业”等。</w:t>
      </w:r>
    </w:p>
    <w:p w14:paraId="660E2BA5">
      <w:pPr>
        <w:ind w:firstLine="420"/>
        <w:rPr>
          <w:rFonts w:hint="eastAsia"/>
        </w:rPr>
      </w:pPr>
      <w:r>
        <w:rPr>
          <w:rFonts w:hint="eastAsia"/>
        </w:rPr>
        <w:t>12.1.4 认证转换： 一个已获认可的认证机构为了颁发自己的认证证书，而承认另一个已获认可的认证机构颁发的现行有效的管理体系认证证书。</w:t>
      </w:r>
    </w:p>
    <w:p w14:paraId="48AD509A">
      <w:pPr>
        <w:ind w:firstLine="420"/>
        <w:rPr>
          <w:rFonts w:hint="eastAsia"/>
        </w:rPr>
      </w:pPr>
      <w:r>
        <w:rPr>
          <w:rFonts w:hint="eastAsia"/>
        </w:rPr>
        <w:t>12.1.5 审核时间：策划并完成一次完整有效的管理体系审核所需要的时间。</w:t>
      </w:r>
    </w:p>
    <w:p w14:paraId="3BFA00DB">
      <w:pPr>
        <w:ind w:firstLine="420"/>
        <w:rPr>
          <w:rFonts w:hint="eastAsia"/>
        </w:rPr>
      </w:pPr>
      <w:r>
        <w:rPr>
          <w:rFonts w:hint="eastAsia"/>
        </w:rPr>
        <w:t>12.1.6 现场审核时间：审核时间的一部分，包括从首次会议到末次会议之间实施审核活动的所有时间。</w:t>
      </w:r>
    </w:p>
    <w:p w14:paraId="00FFB465">
      <w:pPr>
        <w:ind w:firstLine="420"/>
        <w:rPr>
          <w:rFonts w:hint="eastAsia"/>
        </w:rPr>
      </w:pPr>
      <w:r>
        <w:rPr>
          <w:rFonts w:hint="eastAsia"/>
        </w:rPr>
        <w:t>12.1.7 严重不符合：影响管理体系实现预期结果的能力的不符合。</w:t>
      </w:r>
    </w:p>
    <w:p w14:paraId="6CB82A34">
      <w:pPr>
        <w:ind w:firstLine="420"/>
        <w:rPr>
          <w:rFonts w:hint="eastAsia"/>
        </w:rPr>
      </w:pPr>
      <w:r>
        <w:rPr>
          <w:rFonts w:hint="eastAsia"/>
        </w:rPr>
        <w:t>注：严重不符合可能是下列情况：</w:t>
      </w:r>
    </w:p>
    <w:p w14:paraId="703810D7">
      <w:pPr>
        <w:ind w:firstLine="420"/>
        <w:rPr>
          <w:rFonts w:hint="eastAsia"/>
        </w:rPr>
      </w:pPr>
      <w:r>
        <w:rPr>
          <w:rFonts w:hint="eastAsia"/>
        </w:rPr>
        <w:t>—对过程控制是否有效或者产品或服务能否满足规定要求存在严重的怀疑。</w:t>
      </w:r>
    </w:p>
    <w:p w14:paraId="31EAE88A">
      <w:pPr>
        <w:ind w:firstLine="420"/>
        <w:rPr>
          <w:rFonts w:hint="eastAsia"/>
        </w:rPr>
      </w:pPr>
      <w:r>
        <w:rPr>
          <w:rFonts w:hint="eastAsia"/>
        </w:rPr>
        <w:t>—多项轻微不符合都与同一要求或问题有关，可能表明存在系统性失效，从而构成一项严重不符合。</w:t>
      </w:r>
    </w:p>
    <w:p w14:paraId="1BE7C748">
      <w:pPr>
        <w:ind w:firstLine="420"/>
        <w:rPr>
          <w:rFonts w:hint="eastAsia"/>
        </w:rPr>
      </w:pPr>
      <w:r>
        <w:rPr>
          <w:rFonts w:hint="eastAsia"/>
        </w:rPr>
        <w:t>12.1.8 轻微不符合：不影响管理体系实现预期结果的能力的不符合。</w:t>
      </w:r>
    </w:p>
    <w:p w14:paraId="25D4E422">
      <w:pPr>
        <w:ind w:firstLine="420"/>
        <w:rPr>
          <w:rFonts w:hint="eastAsia"/>
        </w:rPr>
      </w:pPr>
      <w:r>
        <w:rPr>
          <w:rFonts w:hint="eastAsia"/>
        </w:rPr>
        <w:t>12.2 认证行政监管部门可以依照本规则的规定对管理体系认证活动实施监督管理，发现违法违规行为，应依法依规处理。</w:t>
      </w:r>
    </w:p>
    <w:p w14:paraId="7340B10F">
      <w:pPr>
        <w:ind w:firstLine="420"/>
        <w:rPr>
          <w:rFonts w:hint="eastAsia"/>
        </w:rPr>
        <w:sectPr>
          <w:footerReference r:id="rId14" w:type="default"/>
          <w:pgSz w:w="11905" w:h="16838"/>
          <w:pgMar w:top="851" w:right="851" w:bottom="851" w:left="851" w:header="340" w:footer="510" w:gutter="0"/>
          <w:pgNumType w:start="1"/>
          <w:cols w:space="720" w:num="1"/>
          <w:docGrid w:linePitch="317" w:charSpace="0"/>
        </w:sectPr>
      </w:pPr>
      <w:r>
        <w:rPr>
          <w:rFonts w:hint="eastAsia"/>
        </w:rPr>
        <w:t>12.3本规则由富利汇认证（宁夏）有限公司负责解释。</w:t>
      </w:r>
    </w:p>
    <w:bookmarkEnd w:id="126"/>
    <w:bookmarkEnd w:id="127"/>
    <w:bookmarkEnd w:id="128"/>
    <w:bookmarkEnd w:id="129"/>
    <w:p w14:paraId="13D57BF2">
      <w:pPr>
        <w:pStyle w:val="2"/>
        <w:rPr>
          <w:rFonts w:ascii="宋体" w:hAnsi="宋体"/>
        </w:rPr>
      </w:pPr>
      <w:bookmarkStart w:id="148" w:name="_Toc226880964"/>
      <w:bookmarkStart w:id="149" w:name="_Toc19056"/>
      <w:bookmarkStart w:id="150" w:name="_Toc32256"/>
      <w:bookmarkStart w:id="151" w:name="_Toc28444"/>
      <w:bookmarkStart w:id="152" w:name="_Toc28398"/>
      <w:bookmarkStart w:id="153" w:name="_Toc205390529"/>
      <w:bookmarkStart w:id="154" w:name="_Toc200875078"/>
      <w:r>
        <w:rPr>
          <w:rFonts w:ascii="宋体" w:hAnsi="宋体"/>
        </w:rPr>
        <w:t>附录 A</w:t>
      </w:r>
      <w:bookmarkStart w:id="155" w:name="bookmark25"/>
      <w:bookmarkEnd w:id="155"/>
      <w:r>
        <w:rPr>
          <w:rFonts w:hint="eastAsia" w:ascii="宋体" w:hAnsi="宋体"/>
        </w:rPr>
        <w:t xml:space="preserve"> CXMS</w:t>
      </w:r>
      <w:r>
        <w:rPr>
          <w:rFonts w:ascii="宋体" w:hAnsi="宋体"/>
        </w:rPr>
        <w:t>认证业务范围分类</w:t>
      </w:r>
      <w:bookmarkStart w:id="156" w:name="bookmark39"/>
      <w:bookmarkEnd w:id="156"/>
      <w:r>
        <w:rPr>
          <w:rFonts w:ascii="宋体" w:hAnsi="宋体"/>
        </w:rPr>
        <w:t>和风险类型示例</w:t>
      </w:r>
      <w:bookmarkEnd w:id="148"/>
      <w:bookmarkEnd w:id="149"/>
    </w:p>
    <w:p w14:paraId="0000B12F">
      <w:pPr>
        <w:autoSpaceDE/>
        <w:autoSpaceDN/>
        <w:spacing w:line="312" w:lineRule="auto"/>
        <w:ind w:firstLine="420"/>
        <w:rPr>
          <w:rFonts w:hint="eastAsia" w:cs="Times New Roman"/>
          <w:kern w:val="2"/>
          <w:szCs w:val="20"/>
        </w:rPr>
      </w:pPr>
      <w:r>
        <w:rPr>
          <w:rFonts w:hint="eastAsia" w:cs="Times New Roman"/>
          <w:kern w:val="2"/>
          <w:szCs w:val="20"/>
        </w:rPr>
        <w:t>引用：</w:t>
      </w:r>
      <w:r>
        <w:rPr>
          <w:rFonts w:cs="Times New Roman"/>
          <w:kern w:val="2"/>
          <w:szCs w:val="20"/>
        </w:rPr>
        <w:t>质量管理体系认证业务范围共划分为39大类，详见表A.1。</w:t>
      </w:r>
    </w:p>
    <w:p w14:paraId="359A0961">
      <w:pPr>
        <w:autoSpaceDE/>
        <w:autoSpaceDN/>
        <w:spacing w:line="312" w:lineRule="auto"/>
        <w:ind w:firstLine="420"/>
        <w:rPr>
          <w:rFonts w:hint="eastAsia" w:cs="Times New Roman"/>
          <w:kern w:val="2"/>
          <w:szCs w:val="20"/>
        </w:rPr>
      </w:pPr>
      <w:r>
        <w:rPr>
          <w:rFonts w:hint="eastAsia" w:cs="Times New Roman"/>
          <w:kern w:val="2"/>
          <w:szCs w:val="20"/>
        </w:rPr>
        <w:t>引用：</w:t>
      </w:r>
      <w:r>
        <w:rPr>
          <w:rFonts w:cs="Times New Roman"/>
          <w:kern w:val="2"/>
          <w:szCs w:val="20"/>
        </w:rPr>
        <w:t>表</w:t>
      </w:r>
      <w:r>
        <w:rPr>
          <w:rFonts w:cs="Times New Roman"/>
          <w:spacing w:val="-48"/>
          <w:kern w:val="2"/>
          <w:szCs w:val="20"/>
        </w:rPr>
        <w:t xml:space="preserve"> </w:t>
      </w:r>
      <w:r>
        <w:rPr>
          <w:rFonts w:cs="Times New Roman"/>
          <w:kern w:val="2"/>
          <w:szCs w:val="20"/>
        </w:rPr>
        <w:t>A.1  质量管理体系认证业务范围分类</w:t>
      </w:r>
    </w:p>
    <w:tbl>
      <w:tblPr>
        <w:tblStyle w:val="12"/>
        <w:tblpPr w:leftFromText="180" w:rightFromText="180" w:vertAnchor="text" w:horzAnchor="page" w:tblpXSpec="center" w:tblpY="23"/>
        <w:tblOverlap w:val="never"/>
        <w:tblW w:w="97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3447"/>
        <w:gridCol w:w="781"/>
        <w:gridCol w:w="4616"/>
      </w:tblGrid>
      <w:tr w14:paraId="6F8E4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716695A5">
            <w:pPr>
              <w:autoSpaceDE/>
              <w:autoSpaceDN/>
              <w:spacing w:line="240" w:lineRule="auto"/>
              <w:ind w:firstLine="0" w:firstLineChars="0"/>
              <w:jc w:val="center"/>
              <w:rPr>
                <w:rFonts w:hint="eastAsia" w:cs="Arial"/>
                <w:b/>
                <w:bCs/>
                <w:snapToGrid w:val="0"/>
                <w:color w:val="000000"/>
                <w:kern w:val="2"/>
                <w:szCs w:val="21"/>
                <w:lang w:eastAsia="en-US"/>
              </w:rPr>
            </w:pPr>
            <w:r>
              <w:rPr>
                <w:rFonts w:cs="Arial"/>
                <w:b/>
                <w:bCs/>
                <w:snapToGrid w:val="0"/>
                <w:color w:val="000000"/>
                <w:kern w:val="2"/>
                <w:szCs w:val="21"/>
                <w:lang w:eastAsia="en-US"/>
              </w:rPr>
              <w:t>编号</w:t>
            </w:r>
          </w:p>
        </w:tc>
        <w:tc>
          <w:tcPr>
            <w:tcW w:w="3447" w:type="dxa"/>
            <w:vAlign w:val="center"/>
          </w:tcPr>
          <w:p w14:paraId="0787C68B">
            <w:pPr>
              <w:autoSpaceDE/>
              <w:autoSpaceDN/>
              <w:spacing w:line="240" w:lineRule="auto"/>
              <w:ind w:firstLine="0" w:firstLineChars="0"/>
              <w:jc w:val="center"/>
              <w:rPr>
                <w:rFonts w:hint="eastAsia" w:cs="Arial"/>
                <w:b/>
                <w:bCs/>
                <w:snapToGrid w:val="0"/>
                <w:color w:val="000000"/>
                <w:kern w:val="2"/>
                <w:szCs w:val="21"/>
                <w:lang w:eastAsia="en-US"/>
              </w:rPr>
            </w:pPr>
            <w:r>
              <w:rPr>
                <w:rFonts w:cs="Arial"/>
                <w:b/>
                <w:bCs/>
                <w:snapToGrid w:val="0"/>
                <w:color w:val="000000"/>
                <w:spacing w:val="-4"/>
                <w:kern w:val="2"/>
                <w:szCs w:val="21"/>
                <w:lang w:eastAsia="en-US"/>
              </w:rPr>
              <w:t>认证业务范围名称</w:t>
            </w:r>
          </w:p>
        </w:tc>
        <w:tc>
          <w:tcPr>
            <w:tcW w:w="781" w:type="dxa"/>
            <w:vAlign w:val="center"/>
          </w:tcPr>
          <w:p w14:paraId="7ED86FAD">
            <w:pPr>
              <w:autoSpaceDE/>
              <w:autoSpaceDN/>
              <w:spacing w:line="240" w:lineRule="auto"/>
              <w:ind w:firstLine="0" w:firstLineChars="0"/>
              <w:jc w:val="center"/>
              <w:rPr>
                <w:rFonts w:hint="eastAsia" w:cs="Arial"/>
                <w:b/>
                <w:bCs/>
                <w:snapToGrid w:val="0"/>
                <w:color w:val="000000"/>
                <w:kern w:val="2"/>
                <w:szCs w:val="21"/>
                <w:lang w:eastAsia="en-US"/>
              </w:rPr>
            </w:pPr>
            <w:r>
              <w:rPr>
                <w:rFonts w:cs="Arial"/>
                <w:b/>
                <w:bCs/>
                <w:snapToGrid w:val="0"/>
                <w:color w:val="000000"/>
                <w:kern w:val="2"/>
                <w:szCs w:val="21"/>
                <w:lang w:eastAsia="en-US"/>
              </w:rPr>
              <w:t>编号</w:t>
            </w:r>
          </w:p>
        </w:tc>
        <w:tc>
          <w:tcPr>
            <w:tcW w:w="4616" w:type="dxa"/>
            <w:vAlign w:val="center"/>
          </w:tcPr>
          <w:p w14:paraId="50412DFE">
            <w:pPr>
              <w:autoSpaceDE/>
              <w:autoSpaceDN/>
              <w:spacing w:line="240" w:lineRule="auto"/>
              <w:ind w:firstLine="0" w:firstLineChars="0"/>
              <w:jc w:val="center"/>
              <w:rPr>
                <w:rFonts w:hint="eastAsia" w:cs="Arial"/>
                <w:b/>
                <w:bCs/>
                <w:snapToGrid w:val="0"/>
                <w:color w:val="000000"/>
                <w:kern w:val="2"/>
                <w:szCs w:val="21"/>
                <w:lang w:eastAsia="en-US"/>
              </w:rPr>
            </w:pPr>
            <w:r>
              <w:rPr>
                <w:rFonts w:cs="Arial"/>
                <w:b/>
                <w:bCs/>
                <w:snapToGrid w:val="0"/>
                <w:color w:val="000000"/>
                <w:spacing w:val="-4"/>
                <w:kern w:val="2"/>
                <w:szCs w:val="21"/>
                <w:lang w:eastAsia="en-US"/>
              </w:rPr>
              <w:t>认证业务范围名称</w:t>
            </w:r>
          </w:p>
        </w:tc>
      </w:tr>
      <w:tr w14:paraId="61DA1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3FC8802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01</w:t>
            </w:r>
          </w:p>
        </w:tc>
        <w:tc>
          <w:tcPr>
            <w:tcW w:w="3447" w:type="dxa"/>
            <w:vAlign w:val="center"/>
          </w:tcPr>
          <w:p w14:paraId="09E9F6E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农业、林业和渔业</w:t>
            </w:r>
          </w:p>
        </w:tc>
        <w:tc>
          <w:tcPr>
            <w:tcW w:w="781" w:type="dxa"/>
            <w:vAlign w:val="center"/>
          </w:tcPr>
          <w:p w14:paraId="6FB27487">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21</w:t>
            </w:r>
          </w:p>
        </w:tc>
        <w:tc>
          <w:tcPr>
            <w:tcW w:w="4616" w:type="dxa"/>
            <w:vAlign w:val="center"/>
          </w:tcPr>
          <w:p w14:paraId="2C2D531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航空航天</w:t>
            </w:r>
          </w:p>
        </w:tc>
      </w:tr>
      <w:tr w14:paraId="6EA9E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073AB5ED">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02</w:t>
            </w:r>
          </w:p>
        </w:tc>
        <w:tc>
          <w:tcPr>
            <w:tcW w:w="3447" w:type="dxa"/>
            <w:vAlign w:val="center"/>
          </w:tcPr>
          <w:p w14:paraId="7261F8DF">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采矿业和采石业</w:t>
            </w:r>
          </w:p>
        </w:tc>
        <w:tc>
          <w:tcPr>
            <w:tcW w:w="781" w:type="dxa"/>
            <w:vAlign w:val="center"/>
          </w:tcPr>
          <w:p w14:paraId="3395708F">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22</w:t>
            </w:r>
          </w:p>
        </w:tc>
        <w:tc>
          <w:tcPr>
            <w:tcW w:w="4616" w:type="dxa"/>
            <w:vAlign w:val="center"/>
          </w:tcPr>
          <w:p w14:paraId="070BE702">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其他运输设备</w:t>
            </w:r>
          </w:p>
        </w:tc>
      </w:tr>
      <w:tr w14:paraId="1A688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084394F8">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03</w:t>
            </w:r>
          </w:p>
        </w:tc>
        <w:tc>
          <w:tcPr>
            <w:tcW w:w="3447" w:type="dxa"/>
            <w:vAlign w:val="center"/>
          </w:tcPr>
          <w:p w14:paraId="23B6B534">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食品、饮料和烟草</w:t>
            </w:r>
          </w:p>
        </w:tc>
        <w:tc>
          <w:tcPr>
            <w:tcW w:w="781" w:type="dxa"/>
            <w:vAlign w:val="center"/>
          </w:tcPr>
          <w:p w14:paraId="33524DD4">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23</w:t>
            </w:r>
          </w:p>
        </w:tc>
        <w:tc>
          <w:tcPr>
            <w:tcW w:w="4616" w:type="dxa"/>
            <w:vAlign w:val="center"/>
          </w:tcPr>
          <w:p w14:paraId="778091DB">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其他未另分类制造业</w:t>
            </w:r>
          </w:p>
        </w:tc>
      </w:tr>
      <w:tr w14:paraId="52506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374C5FB9">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04</w:t>
            </w:r>
          </w:p>
        </w:tc>
        <w:tc>
          <w:tcPr>
            <w:tcW w:w="3447" w:type="dxa"/>
            <w:vAlign w:val="center"/>
          </w:tcPr>
          <w:p w14:paraId="0800FA67">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纺织品及纺织制品</w:t>
            </w:r>
          </w:p>
        </w:tc>
        <w:tc>
          <w:tcPr>
            <w:tcW w:w="781" w:type="dxa"/>
            <w:vAlign w:val="center"/>
          </w:tcPr>
          <w:p w14:paraId="2892EBC1">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24</w:t>
            </w:r>
          </w:p>
        </w:tc>
        <w:tc>
          <w:tcPr>
            <w:tcW w:w="4616" w:type="dxa"/>
            <w:vAlign w:val="center"/>
          </w:tcPr>
          <w:p w14:paraId="276B16A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2"/>
                <w:kern w:val="2"/>
                <w:szCs w:val="21"/>
                <w:lang w:eastAsia="en-US"/>
              </w:rPr>
              <w:t>回收业</w:t>
            </w:r>
          </w:p>
        </w:tc>
      </w:tr>
      <w:tr w14:paraId="4FDEF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72BFB35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05</w:t>
            </w:r>
          </w:p>
        </w:tc>
        <w:tc>
          <w:tcPr>
            <w:tcW w:w="3447" w:type="dxa"/>
            <w:vAlign w:val="center"/>
          </w:tcPr>
          <w:p w14:paraId="3F4FBDA3">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皮革及皮革制品</w:t>
            </w:r>
          </w:p>
        </w:tc>
        <w:tc>
          <w:tcPr>
            <w:tcW w:w="781" w:type="dxa"/>
            <w:vAlign w:val="center"/>
          </w:tcPr>
          <w:p w14:paraId="712AF67F">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25</w:t>
            </w:r>
          </w:p>
        </w:tc>
        <w:tc>
          <w:tcPr>
            <w:tcW w:w="4616" w:type="dxa"/>
            <w:vAlign w:val="center"/>
          </w:tcPr>
          <w:p w14:paraId="183F4FA3">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供电业</w:t>
            </w:r>
          </w:p>
        </w:tc>
      </w:tr>
      <w:tr w14:paraId="5ECE4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36BBCD50">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06</w:t>
            </w:r>
          </w:p>
        </w:tc>
        <w:tc>
          <w:tcPr>
            <w:tcW w:w="3447" w:type="dxa"/>
            <w:vAlign w:val="center"/>
          </w:tcPr>
          <w:p w14:paraId="5DC045D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3"/>
                <w:kern w:val="2"/>
                <w:szCs w:val="21"/>
                <w:lang w:eastAsia="en-US"/>
              </w:rPr>
              <w:t>木材及木制品</w:t>
            </w:r>
          </w:p>
        </w:tc>
        <w:tc>
          <w:tcPr>
            <w:tcW w:w="781" w:type="dxa"/>
            <w:vAlign w:val="center"/>
          </w:tcPr>
          <w:p w14:paraId="3444F3E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26</w:t>
            </w:r>
          </w:p>
        </w:tc>
        <w:tc>
          <w:tcPr>
            <w:tcW w:w="4616" w:type="dxa"/>
            <w:vAlign w:val="center"/>
          </w:tcPr>
          <w:p w14:paraId="544E66E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供气业</w:t>
            </w:r>
          </w:p>
        </w:tc>
      </w:tr>
      <w:tr w14:paraId="27198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2AAABFD8">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07</w:t>
            </w:r>
          </w:p>
        </w:tc>
        <w:tc>
          <w:tcPr>
            <w:tcW w:w="3447" w:type="dxa"/>
            <w:vAlign w:val="center"/>
          </w:tcPr>
          <w:p w14:paraId="738E8C6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纸浆、纸及纸制品</w:t>
            </w:r>
          </w:p>
        </w:tc>
        <w:tc>
          <w:tcPr>
            <w:tcW w:w="781" w:type="dxa"/>
            <w:vAlign w:val="center"/>
          </w:tcPr>
          <w:p w14:paraId="3EACF11B">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27</w:t>
            </w:r>
          </w:p>
        </w:tc>
        <w:tc>
          <w:tcPr>
            <w:tcW w:w="4616" w:type="dxa"/>
            <w:vAlign w:val="center"/>
          </w:tcPr>
          <w:p w14:paraId="0BAA80BD">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供水业</w:t>
            </w:r>
          </w:p>
        </w:tc>
      </w:tr>
      <w:tr w14:paraId="081D1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18DCE2A8">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08</w:t>
            </w:r>
          </w:p>
        </w:tc>
        <w:tc>
          <w:tcPr>
            <w:tcW w:w="3447" w:type="dxa"/>
            <w:vAlign w:val="center"/>
          </w:tcPr>
          <w:p w14:paraId="6CF00EF6">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6"/>
                <w:kern w:val="2"/>
                <w:szCs w:val="21"/>
                <w:lang w:eastAsia="en-US"/>
              </w:rPr>
              <w:t>出版业</w:t>
            </w:r>
          </w:p>
        </w:tc>
        <w:tc>
          <w:tcPr>
            <w:tcW w:w="781" w:type="dxa"/>
            <w:vAlign w:val="center"/>
          </w:tcPr>
          <w:p w14:paraId="507ADB97">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28</w:t>
            </w:r>
          </w:p>
        </w:tc>
        <w:tc>
          <w:tcPr>
            <w:tcW w:w="4616" w:type="dxa"/>
            <w:vAlign w:val="center"/>
          </w:tcPr>
          <w:p w14:paraId="1447232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3"/>
                <w:kern w:val="2"/>
                <w:szCs w:val="21"/>
                <w:lang w:eastAsia="en-US"/>
              </w:rPr>
              <w:t>建设业</w:t>
            </w:r>
          </w:p>
        </w:tc>
      </w:tr>
      <w:tr w14:paraId="37AFA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5F16367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09</w:t>
            </w:r>
          </w:p>
        </w:tc>
        <w:tc>
          <w:tcPr>
            <w:tcW w:w="3447" w:type="dxa"/>
            <w:vAlign w:val="center"/>
          </w:tcPr>
          <w:p w14:paraId="72340104">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5"/>
                <w:kern w:val="2"/>
                <w:szCs w:val="21"/>
                <w:lang w:eastAsia="en-US"/>
              </w:rPr>
              <w:t>印刷业</w:t>
            </w:r>
          </w:p>
        </w:tc>
        <w:tc>
          <w:tcPr>
            <w:tcW w:w="781" w:type="dxa"/>
            <w:vAlign w:val="center"/>
          </w:tcPr>
          <w:p w14:paraId="5017E07A">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0"/>
                <w:kern w:val="2"/>
                <w:szCs w:val="21"/>
                <w:lang w:eastAsia="en-US"/>
              </w:rPr>
              <w:t>29</w:t>
            </w:r>
          </w:p>
        </w:tc>
        <w:tc>
          <w:tcPr>
            <w:tcW w:w="4616" w:type="dxa"/>
            <w:vAlign w:val="center"/>
          </w:tcPr>
          <w:p w14:paraId="3F0B830F">
            <w:pPr>
              <w:autoSpaceDE/>
              <w:autoSpaceDN/>
              <w:spacing w:line="240" w:lineRule="auto"/>
              <w:ind w:firstLine="0" w:firstLineChars="0"/>
              <w:jc w:val="center"/>
              <w:rPr>
                <w:rFonts w:hint="eastAsia" w:cs="Arial"/>
                <w:snapToGrid w:val="0"/>
                <w:color w:val="000000"/>
                <w:kern w:val="2"/>
                <w:szCs w:val="21"/>
              </w:rPr>
            </w:pPr>
            <w:r>
              <w:rPr>
                <w:rFonts w:cs="Arial"/>
                <w:snapToGrid w:val="0"/>
                <w:color w:val="000000"/>
                <w:spacing w:val="-6"/>
                <w:kern w:val="2"/>
                <w:szCs w:val="21"/>
              </w:rPr>
              <w:t>批发和零售业；汽车、摩托、</w:t>
            </w:r>
            <w:r>
              <w:rPr>
                <w:rFonts w:cs="Arial"/>
                <w:snapToGrid w:val="0"/>
                <w:color w:val="000000"/>
                <w:spacing w:val="-2"/>
                <w:kern w:val="2"/>
                <w:szCs w:val="21"/>
              </w:rPr>
              <w:t>个人及家庭用品修理业</w:t>
            </w:r>
          </w:p>
        </w:tc>
      </w:tr>
      <w:tr w14:paraId="3DFA1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69D9FAC0">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4"/>
                <w:kern w:val="2"/>
                <w:szCs w:val="21"/>
                <w:lang w:eastAsia="en-US"/>
              </w:rPr>
              <w:t>10</w:t>
            </w:r>
          </w:p>
        </w:tc>
        <w:tc>
          <w:tcPr>
            <w:tcW w:w="3447" w:type="dxa"/>
            <w:vAlign w:val="center"/>
          </w:tcPr>
          <w:p w14:paraId="6A7590D5">
            <w:pPr>
              <w:autoSpaceDE/>
              <w:autoSpaceDN/>
              <w:spacing w:line="240" w:lineRule="auto"/>
              <w:ind w:firstLine="0" w:firstLineChars="0"/>
              <w:jc w:val="center"/>
              <w:rPr>
                <w:rFonts w:hint="eastAsia" w:cs="Arial"/>
                <w:snapToGrid w:val="0"/>
                <w:color w:val="000000"/>
                <w:kern w:val="2"/>
                <w:szCs w:val="21"/>
              </w:rPr>
            </w:pPr>
            <w:r>
              <w:rPr>
                <w:rFonts w:cs="Arial"/>
                <w:snapToGrid w:val="0"/>
                <w:color w:val="000000"/>
                <w:spacing w:val="-2"/>
                <w:kern w:val="2"/>
                <w:szCs w:val="21"/>
              </w:rPr>
              <w:t>焦炭及精炼石油制品</w:t>
            </w:r>
            <w:r>
              <w:rPr>
                <w:rFonts w:cs="Arial"/>
                <w:snapToGrid w:val="0"/>
                <w:color w:val="000000"/>
                <w:spacing w:val="-12"/>
                <w:kern w:val="2"/>
                <w:szCs w:val="21"/>
              </w:rPr>
              <w:t>的制造</w:t>
            </w:r>
          </w:p>
        </w:tc>
        <w:tc>
          <w:tcPr>
            <w:tcW w:w="781" w:type="dxa"/>
            <w:vAlign w:val="center"/>
          </w:tcPr>
          <w:p w14:paraId="3B422999">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6"/>
                <w:kern w:val="2"/>
                <w:szCs w:val="21"/>
                <w:lang w:eastAsia="en-US"/>
              </w:rPr>
              <w:t>30</w:t>
            </w:r>
          </w:p>
        </w:tc>
        <w:tc>
          <w:tcPr>
            <w:tcW w:w="4616" w:type="dxa"/>
            <w:vAlign w:val="center"/>
          </w:tcPr>
          <w:p w14:paraId="7442B3D6">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4"/>
                <w:kern w:val="2"/>
                <w:szCs w:val="21"/>
                <w:lang w:eastAsia="en-US"/>
              </w:rPr>
              <w:t>宾馆及餐馆</w:t>
            </w:r>
          </w:p>
        </w:tc>
      </w:tr>
      <w:tr w14:paraId="7630C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3D489CEC">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4"/>
                <w:kern w:val="2"/>
                <w:szCs w:val="21"/>
                <w:lang w:eastAsia="en-US"/>
              </w:rPr>
              <w:t>11</w:t>
            </w:r>
          </w:p>
        </w:tc>
        <w:tc>
          <w:tcPr>
            <w:tcW w:w="3447" w:type="dxa"/>
            <w:vAlign w:val="center"/>
          </w:tcPr>
          <w:p w14:paraId="25B8DDA8">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3"/>
                <w:kern w:val="2"/>
                <w:szCs w:val="21"/>
                <w:lang w:eastAsia="en-US"/>
              </w:rPr>
              <w:t>核燃料</w:t>
            </w:r>
          </w:p>
        </w:tc>
        <w:tc>
          <w:tcPr>
            <w:tcW w:w="781" w:type="dxa"/>
            <w:vAlign w:val="center"/>
          </w:tcPr>
          <w:p w14:paraId="401C3A4B">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6"/>
                <w:kern w:val="2"/>
                <w:szCs w:val="21"/>
                <w:lang w:eastAsia="en-US"/>
              </w:rPr>
              <w:t>31</w:t>
            </w:r>
          </w:p>
        </w:tc>
        <w:tc>
          <w:tcPr>
            <w:tcW w:w="4616" w:type="dxa"/>
            <w:vAlign w:val="center"/>
          </w:tcPr>
          <w:p w14:paraId="15F514EF">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2"/>
                <w:kern w:val="2"/>
                <w:szCs w:val="21"/>
                <w:lang w:eastAsia="en-US"/>
              </w:rPr>
              <w:t>运输、仓储和通信业</w:t>
            </w:r>
          </w:p>
        </w:tc>
      </w:tr>
      <w:tr w14:paraId="0DC60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4813C88F">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4"/>
                <w:kern w:val="2"/>
                <w:szCs w:val="21"/>
                <w:lang w:eastAsia="en-US"/>
              </w:rPr>
              <w:t>12</w:t>
            </w:r>
          </w:p>
        </w:tc>
        <w:tc>
          <w:tcPr>
            <w:tcW w:w="3447" w:type="dxa"/>
            <w:vAlign w:val="center"/>
          </w:tcPr>
          <w:p w14:paraId="3A01F27D">
            <w:pPr>
              <w:autoSpaceDE/>
              <w:autoSpaceDN/>
              <w:spacing w:line="240" w:lineRule="auto"/>
              <w:ind w:firstLine="0" w:firstLineChars="0"/>
              <w:jc w:val="center"/>
              <w:rPr>
                <w:rFonts w:hint="eastAsia" w:cs="Arial"/>
                <w:snapToGrid w:val="0"/>
                <w:color w:val="000000"/>
                <w:kern w:val="2"/>
                <w:szCs w:val="21"/>
              </w:rPr>
            </w:pPr>
            <w:r>
              <w:rPr>
                <w:rFonts w:cs="Arial"/>
                <w:snapToGrid w:val="0"/>
                <w:color w:val="000000"/>
                <w:spacing w:val="-2"/>
                <w:kern w:val="2"/>
                <w:szCs w:val="21"/>
              </w:rPr>
              <w:t>化学品、化学制品及纤维</w:t>
            </w:r>
          </w:p>
        </w:tc>
        <w:tc>
          <w:tcPr>
            <w:tcW w:w="781" w:type="dxa"/>
            <w:vAlign w:val="center"/>
          </w:tcPr>
          <w:p w14:paraId="77C06565">
            <w:pPr>
              <w:autoSpaceDE/>
              <w:autoSpaceDN/>
              <w:spacing w:line="240" w:lineRule="auto"/>
              <w:ind w:firstLine="0" w:firstLineChars="0"/>
              <w:jc w:val="center"/>
              <w:rPr>
                <w:rFonts w:hint="eastAsia" w:cs="Arial"/>
                <w:snapToGrid w:val="0"/>
                <w:color w:val="000000"/>
                <w:kern w:val="2"/>
                <w:szCs w:val="21"/>
                <w:lang w:eastAsia="en-US"/>
              </w:rPr>
            </w:pPr>
            <w:r>
              <w:rPr>
                <w:rFonts w:cs="Arial"/>
                <w:snapToGrid w:val="0"/>
                <w:color w:val="000000"/>
                <w:spacing w:val="-16"/>
                <w:kern w:val="2"/>
                <w:szCs w:val="21"/>
                <w:lang w:eastAsia="en-US"/>
              </w:rPr>
              <w:t>32</w:t>
            </w:r>
          </w:p>
        </w:tc>
        <w:tc>
          <w:tcPr>
            <w:tcW w:w="4616" w:type="dxa"/>
            <w:vAlign w:val="center"/>
          </w:tcPr>
          <w:p w14:paraId="2AFED88A">
            <w:pPr>
              <w:autoSpaceDE/>
              <w:autoSpaceDN/>
              <w:spacing w:line="240" w:lineRule="auto"/>
              <w:ind w:firstLine="0" w:firstLineChars="0"/>
              <w:jc w:val="center"/>
              <w:rPr>
                <w:rFonts w:hint="eastAsia" w:cs="Arial"/>
                <w:snapToGrid w:val="0"/>
                <w:color w:val="000000"/>
                <w:kern w:val="2"/>
                <w:szCs w:val="21"/>
              </w:rPr>
            </w:pPr>
            <w:r>
              <w:rPr>
                <w:rFonts w:cs="Arial"/>
                <w:snapToGrid w:val="0"/>
                <w:color w:val="000000"/>
                <w:spacing w:val="-2"/>
                <w:kern w:val="2"/>
                <w:szCs w:val="21"/>
              </w:rPr>
              <w:t>金融中介、房地产和租赁</w:t>
            </w:r>
          </w:p>
        </w:tc>
      </w:tr>
      <w:tr w14:paraId="166D7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004481C5">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13</w:t>
            </w:r>
          </w:p>
        </w:tc>
        <w:tc>
          <w:tcPr>
            <w:tcW w:w="3447" w:type="dxa"/>
            <w:vAlign w:val="center"/>
          </w:tcPr>
          <w:p w14:paraId="5F331D89">
            <w:pPr>
              <w:pStyle w:val="27"/>
              <w:adjustRightInd/>
              <w:snapToGrid/>
              <w:spacing w:after="0"/>
              <w:jc w:val="center"/>
              <w:rPr>
                <w:rFonts w:hint="eastAsia" w:ascii="宋体" w:hAnsi="宋体" w:eastAsia="宋体"/>
                <w:sz w:val="21"/>
                <w:szCs w:val="21"/>
              </w:rPr>
            </w:pPr>
            <w:r>
              <w:rPr>
                <w:rFonts w:ascii="宋体" w:hAnsi="宋体" w:eastAsia="宋体"/>
                <w:spacing w:val="-13"/>
                <w:sz w:val="21"/>
                <w:szCs w:val="21"/>
              </w:rPr>
              <w:t>药品</w:t>
            </w:r>
          </w:p>
        </w:tc>
        <w:tc>
          <w:tcPr>
            <w:tcW w:w="781" w:type="dxa"/>
            <w:vAlign w:val="center"/>
          </w:tcPr>
          <w:p w14:paraId="4700E8BD">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33</w:t>
            </w:r>
          </w:p>
        </w:tc>
        <w:tc>
          <w:tcPr>
            <w:tcW w:w="4616" w:type="dxa"/>
            <w:vAlign w:val="center"/>
          </w:tcPr>
          <w:p w14:paraId="08ED65F7">
            <w:pPr>
              <w:pStyle w:val="27"/>
              <w:adjustRightInd/>
              <w:snapToGrid/>
              <w:spacing w:after="0"/>
              <w:jc w:val="center"/>
              <w:rPr>
                <w:rFonts w:hint="eastAsia" w:ascii="宋体" w:hAnsi="宋体" w:eastAsia="宋体"/>
                <w:sz w:val="21"/>
                <w:szCs w:val="21"/>
              </w:rPr>
            </w:pPr>
            <w:r>
              <w:rPr>
                <w:rFonts w:ascii="宋体" w:hAnsi="宋体" w:eastAsia="宋体"/>
                <w:spacing w:val="-1"/>
                <w:sz w:val="21"/>
                <w:szCs w:val="21"/>
              </w:rPr>
              <w:t>信息技术</w:t>
            </w:r>
          </w:p>
        </w:tc>
      </w:tr>
      <w:tr w14:paraId="3C2B0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016B4697">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14</w:t>
            </w:r>
          </w:p>
        </w:tc>
        <w:tc>
          <w:tcPr>
            <w:tcW w:w="3447" w:type="dxa"/>
            <w:vAlign w:val="center"/>
          </w:tcPr>
          <w:p w14:paraId="0B7FBAC4">
            <w:pPr>
              <w:pStyle w:val="27"/>
              <w:adjustRightInd/>
              <w:snapToGrid/>
              <w:spacing w:after="0"/>
              <w:jc w:val="center"/>
              <w:rPr>
                <w:rFonts w:hint="eastAsia" w:ascii="宋体" w:hAnsi="宋体" w:eastAsia="宋体"/>
                <w:sz w:val="21"/>
                <w:szCs w:val="21"/>
              </w:rPr>
            </w:pPr>
            <w:r>
              <w:rPr>
                <w:rFonts w:ascii="宋体" w:hAnsi="宋体" w:eastAsia="宋体"/>
                <w:spacing w:val="-2"/>
                <w:sz w:val="21"/>
                <w:szCs w:val="21"/>
              </w:rPr>
              <w:t>橡胶和塑料制品</w:t>
            </w:r>
          </w:p>
        </w:tc>
        <w:tc>
          <w:tcPr>
            <w:tcW w:w="781" w:type="dxa"/>
            <w:vAlign w:val="center"/>
          </w:tcPr>
          <w:p w14:paraId="3E2CB59D">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34</w:t>
            </w:r>
          </w:p>
        </w:tc>
        <w:tc>
          <w:tcPr>
            <w:tcW w:w="4616" w:type="dxa"/>
            <w:vAlign w:val="center"/>
          </w:tcPr>
          <w:p w14:paraId="54402728">
            <w:pPr>
              <w:pStyle w:val="27"/>
              <w:adjustRightInd/>
              <w:snapToGrid/>
              <w:spacing w:after="0"/>
              <w:jc w:val="center"/>
              <w:rPr>
                <w:rFonts w:hint="eastAsia" w:ascii="宋体" w:hAnsi="宋体" w:eastAsia="宋体"/>
                <w:sz w:val="21"/>
                <w:szCs w:val="21"/>
              </w:rPr>
            </w:pPr>
            <w:r>
              <w:rPr>
                <w:rFonts w:ascii="宋体" w:hAnsi="宋体" w:eastAsia="宋体"/>
                <w:spacing w:val="-5"/>
                <w:sz w:val="21"/>
                <w:szCs w:val="21"/>
              </w:rPr>
              <w:t>工程服务</w:t>
            </w:r>
          </w:p>
        </w:tc>
      </w:tr>
      <w:tr w14:paraId="5C030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59B43F1B">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15</w:t>
            </w:r>
          </w:p>
        </w:tc>
        <w:tc>
          <w:tcPr>
            <w:tcW w:w="3447" w:type="dxa"/>
            <w:vAlign w:val="center"/>
          </w:tcPr>
          <w:p w14:paraId="72E5C652">
            <w:pPr>
              <w:pStyle w:val="27"/>
              <w:adjustRightInd/>
              <w:snapToGrid/>
              <w:spacing w:after="0"/>
              <w:jc w:val="center"/>
              <w:rPr>
                <w:rFonts w:hint="eastAsia" w:ascii="宋体" w:hAnsi="宋体" w:eastAsia="宋体"/>
                <w:sz w:val="21"/>
                <w:szCs w:val="21"/>
              </w:rPr>
            </w:pPr>
            <w:r>
              <w:rPr>
                <w:rFonts w:ascii="宋体" w:hAnsi="宋体" w:eastAsia="宋体"/>
                <w:spacing w:val="-4"/>
                <w:sz w:val="21"/>
                <w:szCs w:val="21"/>
              </w:rPr>
              <w:t>非金属矿物制品</w:t>
            </w:r>
          </w:p>
        </w:tc>
        <w:tc>
          <w:tcPr>
            <w:tcW w:w="781" w:type="dxa"/>
            <w:vAlign w:val="center"/>
          </w:tcPr>
          <w:p w14:paraId="73F63DFC">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35</w:t>
            </w:r>
          </w:p>
        </w:tc>
        <w:tc>
          <w:tcPr>
            <w:tcW w:w="4616" w:type="dxa"/>
            <w:vAlign w:val="center"/>
          </w:tcPr>
          <w:p w14:paraId="48B4D2AD">
            <w:pPr>
              <w:pStyle w:val="27"/>
              <w:adjustRightInd/>
              <w:snapToGrid/>
              <w:spacing w:after="0"/>
              <w:jc w:val="center"/>
              <w:rPr>
                <w:rFonts w:hint="eastAsia" w:ascii="宋体" w:hAnsi="宋体" w:eastAsia="宋体"/>
                <w:sz w:val="21"/>
                <w:szCs w:val="21"/>
              </w:rPr>
            </w:pPr>
            <w:r>
              <w:rPr>
                <w:rFonts w:ascii="宋体" w:hAnsi="宋体" w:eastAsia="宋体"/>
                <w:spacing w:val="-3"/>
                <w:sz w:val="21"/>
                <w:szCs w:val="21"/>
              </w:rPr>
              <w:t>其他服务</w:t>
            </w:r>
          </w:p>
        </w:tc>
      </w:tr>
      <w:tr w14:paraId="2C119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7A371D8A">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16</w:t>
            </w:r>
          </w:p>
        </w:tc>
        <w:tc>
          <w:tcPr>
            <w:tcW w:w="3447" w:type="dxa"/>
            <w:vAlign w:val="center"/>
          </w:tcPr>
          <w:p w14:paraId="2F753EAE">
            <w:pPr>
              <w:pStyle w:val="27"/>
              <w:adjustRightInd/>
              <w:snapToGrid/>
              <w:spacing w:after="0"/>
              <w:jc w:val="center"/>
              <w:rPr>
                <w:rFonts w:hint="eastAsia" w:ascii="宋体" w:hAnsi="宋体" w:eastAsia="宋体"/>
                <w:sz w:val="21"/>
                <w:szCs w:val="21"/>
              </w:rPr>
            </w:pPr>
            <w:r>
              <w:rPr>
                <w:rFonts w:ascii="宋体" w:hAnsi="宋体" w:eastAsia="宋体"/>
                <w:spacing w:val="-13"/>
                <w:sz w:val="21"/>
                <w:szCs w:val="21"/>
              </w:rPr>
              <w:t>混凝土、水泥、石灰、石膏</w:t>
            </w:r>
            <w:r>
              <w:rPr>
                <w:rFonts w:ascii="宋体" w:hAnsi="宋体" w:eastAsia="宋体"/>
                <w:spacing w:val="-2"/>
                <w:sz w:val="21"/>
                <w:szCs w:val="21"/>
              </w:rPr>
              <w:t>及其他</w:t>
            </w:r>
          </w:p>
        </w:tc>
        <w:tc>
          <w:tcPr>
            <w:tcW w:w="781" w:type="dxa"/>
            <w:vAlign w:val="center"/>
          </w:tcPr>
          <w:p w14:paraId="3FF26351">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36</w:t>
            </w:r>
          </w:p>
        </w:tc>
        <w:tc>
          <w:tcPr>
            <w:tcW w:w="4616" w:type="dxa"/>
            <w:vAlign w:val="center"/>
          </w:tcPr>
          <w:p w14:paraId="50D8E68D">
            <w:pPr>
              <w:pStyle w:val="27"/>
              <w:adjustRightInd/>
              <w:snapToGrid/>
              <w:spacing w:after="0"/>
              <w:jc w:val="center"/>
              <w:rPr>
                <w:rFonts w:hint="eastAsia" w:ascii="宋体" w:hAnsi="宋体" w:eastAsia="宋体"/>
                <w:sz w:val="21"/>
                <w:szCs w:val="21"/>
              </w:rPr>
            </w:pPr>
            <w:r>
              <w:rPr>
                <w:rFonts w:ascii="宋体" w:hAnsi="宋体" w:eastAsia="宋体"/>
                <w:spacing w:val="-2"/>
                <w:sz w:val="21"/>
                <w:szCs w:val="21"/>
              </w:rPr>
              <w:t>公共行政管理</w:t>
            </w:r>
          </w:p>
        </w:tc>
      </w:tr>
      <w:tr w14:paraId="72F8C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3AE8D846">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17</w:t>
            </w:r>
          </w:p>
        </w:tc>
        <w:tc>
          <w:tcPr>
            <w:tcW w:w="3447" w:type="dxa"/>
            <w:vAlign w:val="center"/>
          </w:tcPr>
          <w:p w14:paraId="11BDCBD3">
            <w:pPr>
              <w:pStyle w:val="27"/>
              <w:adjustRightInd/>
              <w:snapToGrid/>
              <w:spacing w:after="0"/>
              <w:jc w:val="center"/>
              <w:rPr>
                <w:rFonts w:hint="eastAsia" w:ascii="宋体" w:hAnsi="宋体" w:eastAsia="宋体"/>
                <w:sz w:val="21"/>
                <w:szCs w:val="21"/>
              </w:rPr>
            </w:pPr>
            <w:r>
              <w:rPr>
                <w:rFonts w:ascii="宋体" w:hAnsi="宋体" w:eastAsia="宋体"/>
                <w:spacing w:val="-1"/>
                <w:sz w:val="21"/>
                <w:szCs w:val="21"/>
              </w:rPr>
              <w:t>基础金属及金属制品</w:t>
            </w:r>
          </w:p>
        </w:tc>
        <w:tc>
          <w:tcPr>
            <w:tcW w:w="781" w:type="dxa"/>
            <w:vAlign w:val="center"/>
          </w:tcPr>
          <w:p w14:paraId="394121B0">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37</w:t>
            </w:r>
          </w:p>
        </w:tc>
        <w:tc>
          <w:tcPr>
            <w:tcW w:w="4616" w:type="dxa"/>
            <w:vAlign w:val="center"/>
          </w:tcPr>
          <w:p w14:paraId="12B63415">
            <w:pPr>
              <w:pStyle w:val="27"/>
              <w:adjustRightInd/>
              <w:snapToGrid/>
              <w:spacing w:after="0"/>
              <w:jc w:val="center"/>
              <w:rPr>
                <w:rFonts w:hint="eastAsia" w:ascii="宋体" w:hAnsi="宋体" w:eastAsia="宋体"/>
                <w:sz w:val="21"/>
                <w:szCs w:val="21"/>
              </w:rPr>
            </w:pPr>
            <w:r>
              <w:rPr>
                <w:rFonts w:ascii="宋体" w:hAnsi="宋体" w:eastAsia="宋体"/>
                <w:spacing w:val="-5"/>
                <w:sz w:val="21"/>
                <w:szCs w:val="21"/>
              </w:rPr>
              <w:t>教育</w:t>
            </w:r>
          </w:p>
        </w:tc>
      </w:tr>
      <w:tr w14:paraId="49E45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4CE8960E">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18</w:t>
            </w:r>
          </w:p>
        </w:tc>
        <w:tc>
          <w:tcPr>
            <w:tcW w:w="3447" w:type="dxa"/>
            <w:vAlign w:val="center"/>
          </w:tcPr>
          <w:p w14:paraId="11D17E44">
            <w:pPr>
              <w:pStyle w:val="27"/>
              <w:adjustRightInd/>
              <w:snapToGrid/>
              <w:spacing w:after="0"/>
              <w:jc w:val="center"/>
              <w:rPr>
                <w:rFonts w:hint="eastAsia" w:ascii="宋体" w:hAnsi="宋体" w:eastAsia="宋体"/>
                <w:sz w:val="21"/>
                <w:szCs w:val="21"/>
              </w:rPr>
            </w:pPr>
            <w:r>
              <w:rPr>
                <w:rFonts w:ascii="宋体" w:hAnsi="宋体" w:eastAsia="宋体"/>
                <w:spacing w:val="-2"/>
                <w:sz w:val="21"/>
                <w:szCs w:val="21"/>
              </w:rPr>
              <w:t>机械及设备</w:t>
            </w:r>
          </w:p>
        </w:tc>
        <w:tc>
          <w:tcPr>
            <w:tcW w:w="781" w:type="dxa"/>
            <w:vAlign w:val="center"/>
          </w:tcPr>
          <w:p w14:paraId="2CE5AEC0">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38</w:t>
            </w:r>
          </w:p>
        </w:tc>
        <w:tc>
          <w:tcPr>
            <w:tcW w:w="4616" w:type="dxa"/>
            <w:vAlign w:val="center"/>
          </w:tcPr>
          <w:p w14:paraId="026DD07F">
            <w:pPr>
              <w:pStyle w:val="27"/>
              <w:adjustRightInd/>
              <w:snapToGrid/>
              <w:spacing w:after="0"/>
              <w:jc w:val="center"/>
              <w:rPr>
                <w:rFonts w:hint="eastAsia" w:ascii="宋体" w:hAnsi="宋体" w:eastAsia="宋体"/>
                <w:sz w:val="21"/>
                <w:szCs w:val="21"/>
              </w:rPr>
            </w:pPr>
            <w:r>
              <w:rPr>
                <w:rFonts w:ascii="宋体" w:hAnsi="宋体" w:eastAsia="宋体"/>
                <w:spacing w:val="-1"/>
                <w:sz w:val="21"/>
                <w:szCs w:val="21"/>
              </w:rPr>
              <w:t>健康和社会工作</w:t>
            </w:r>
          </w:p>
        </w:tc>
      </w:tr>
      <w:tr w14:paraId="34917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58B69ADE">
            <w:pPr>
              <w:pStyle w:val="27"/>
              <w:adjustRightInd/>
              <w:snapToGrid/>
              <w:spacing w:after="0"/>
              <w:jc w:val="center"/>
              <w:rPr>
                <w:rFonts w:hint="eastAsia" w:ascii="宋体" w:hAnsi="宋体" w:eastAsia="宋体"/>
                <w:sz w:val="21"/>
                <w:szCs w:val="21"/>
              </w:rPr>
            </w:pPr>
            <w:r>
              <w:rPr>
                <w:rFonts w:ascii="宋体" w:hAnsi="宋体" w:eastAsia="宋体"/>
                <w:spacing w:val="-14"/>
                <w:sz w:val="21"/>
                <w:szCs w:val="21"/>
              </w:rPr>
              <w:t>19</w:t>
            </w:r>
          </w:p>
        </w:tc>
        <w:tc>
          <w:tcPr>
            <w:tcW w:w="3447" w:type="dxa"/>
            <w:vAlign w:val="center"/>
          </w:tcPr>
          <w:p w14:paraId="706028C3">
            <w:pPr>
              <w:pStyle w:val="27"/>
              <w:adjustRightInd/>
              <w:snapToGrid/>
              <w:spacing w:after="0"/>
              <w:jc w:val="center"/>
              <w:rPr>
                <w:rFonts w:hint="eastAsia" w:ascii="宋体" w:hAnsi="宋体" w:eastAsia="宋体"/>
                <w:sz w:val="21"/>
                <w:szCs w:val="21"/>
              </w:rPr>
            </w:pPr>
            <w:r>
              <w:rPr>
                <w:rFonts w:ascii="宋体" w:hAnsi="宋体" w:eastAsia="宋体"/>
                <w:spacing w:val="-8"/>
                <w:sz w:val="21"/>
                <w:szCs w:val="21"/>
              </w:rPr>
              <w:t>电和光学设备</w:t>
            </w:r>
          </w:p>
        </w:tc>
        <w:tc>
          <w:tcPr>
            <w:tcW w:w="781" w:type="dxa"/>
            <w:vAlign w:val="center"/>
          </w:tcPr>
          <w:p w14:paraId="3408B32E">
            <w:pPr>
              <w:pStyle w:val="27"/>
              <w:adjustRightInd/>
              <w:snapToGrid/>
              <w:spacing w:after="0"/>
              <w:jc w:val="center"/>
              <w:rPr>
                <w:rFonts w:hint="eastAsia" w:ascii="宋体" w:hAnsi="宋体" w:eastAsia="宋体"/>
                <w:sz w:val="21"/>
                <w:szCs w:val="21"/>
              </w:rPr>
            </w:pPr>
            <w:r>
              <w:rPr>
                <w:rFonts w:ascii="宋体" w:hAnsi="宋体" w:eastAsia="宋体"/>
                <w:spacing w:val="-16"/>
                <w:sz w:val="21"/>
                <w:szCs w:val="21"/>
              </w:rPr>
              <w:t>39</w:t>
            </w:r>
          </w:p>
        </w:tc>
        <w:tc>
          <w:tcPr>
            <w:tcW w:w="4616" w:type="dxa"/>
            <w:vAlign w:val="center"/>
          </w:tcPr>
          <w:p w14:paraId="4CCECCBE">
            <w:pPr>
              <w:pStyle w:val="27"/>
              <w:adjustRightInd/>
              <w:snapToGrid/>
              <w:spacing w:after="0"/>
              <w:jc w:val="center"/>
              <w:rPr>
                <w:rFonts w:hint="eastAsia" w:ascii="宋体" w:hAnsi="宋体" w:eastAsia="宋体"/>
                <w:sz w:val="21"/>
                <w:szCs w:val="21"/>
              </w:rPr>
            </w:pPr>
            <w:r>
              <w:rPr>
                <w:rFonts w:ascii="宋体" w:hAnsi="宋体" w:eastAsia="宋体"/>
                <w:spacing w:val="-2"/>
                <w:sz w:val="21"/>
                <w:szCs w:val="21"/>
              </w:rPr>
              <w:t>其他社会服务</w:t>
            </w:r>
          </w:p>
        </w:tc>
      </w:tr>
      <w:tr w14:paraId="528FF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38" w:type="dxa"/>
            <w:vAlign w:val="center"/>
          </w:tcPr>
          <w:p w14:paraId="4BA17716">
            <w:pPr>
              <w:pStyle w:val="27"/>
              <w:adjustRightInd/>
              <w:snapToGrid/>
              <w:spacing w:after="0"/>
              <w:jc w:val="center"/>
              <w:rPr>
                <w:rFonts w:hint="eastAsia" w:ascii="宋体" w:hAnsi="宋体" w:eastAsia="宋体"/>
                <w:sz w:val="21"/>
                <w:szCs w:val="21"/>
              </w:rPr>
            </w:pPr>
            <w:r>
              <w:rPr>
                <w:rFonts w:ascii="宋体" w:hAnsi="宋体" w:eastAsia="宋体"/>
                <w:spacing w:val="-10"/>
                <w:sz w:val="21"/>
                <w:szCs w:val="21"/>
              </w:rPr>
              <w:t>20</w:t>
            </w:r>
          </w:p>
        </w:tc>
        <w:tc>
          <w:tcPr>
            <w:tcW w:w="3447" w:type="dxa"/>
            <w:vAlign w:val="center"/>
          </w:tcPr>
          <w:p w14:paraId="0C6252D3">
            <w:pPr>
              <w:pStyle w:val="27"/>
              <w:adjustRightInd/>
              <w:snapToGrid/>
              <w:spacing w:after="0"/>
              <w:jc w:val="center"/>
              <w:rPr>
                <w:rFonts w:hint="eastAsia" w:ascii="宋体" w:hAnsi="宋体" w:eastAsia="宋体"/>
                <w:sz w:val="21"/>
                <w:szCs w:val="21"/>
              </w:rPr>
            </w:pPr>
            <w:r>
              <w:rPr>
                <w:rFonts w:ascii="宋体" w:hAnsi="宋体" w:eastAsia="宋体"/>
                <w:spacing w:val="-5"/>
                <w:sz w:val="21"/>
                <w:szCs w:val="21"/>
              </w:rPr>
              <w:t>造船业</w:t>
            </w:r>
          </w:p>
        </w:tc>
        <w:tc>
          <w:tcPr>
            <w:tcW w:w="781" w:type="dxa"/>
            <w:vAlign w:val="center"/>
          </w:tcPr>
          <w:p w14:paraId="3310153C">
            <w:pPr>
              <w:autoSpaceDE/>
              <w:autoSpaceDN/>
              <w:spacing w:line="240" w:lineRule="auto"/>
              <w:ind w:firstLine="0" w:firstLineChars="0"/>
              <w:jc w:val="center"/>
              <w:rPr>
                <w:rFonts w:hint="eastAsia" w:cs="Arial"/>
                <w:snapToGrid w:val="0"/>
                <w:color w:val="000000"/>
                <w:kern w:val="2"/>
                <w:szCs w:val="21"/>
                <w:lang w:eastAsia="en-US"/>
              </w:rPr>
            </w:pPr>
          </w:p>
        </w:tc>
        <w:tc>
          <w:tcPr>
            <w:tcW w:w="4616" w:type="dxa"/>
            <w:vAlign w:val="center"/>
          </w:tcPr>
          <w:p w14:paraId="0B0B7B90">
            <w:pPr>
              <w:autoSpaceDE/>
              <w:autoSpaceDN/>
              <w:spacing w:line="240" w:lineRule="auto"/>
              <w:ind w:firstLine="0" w:firstLineChars="0"/>
              <w:jc w:val="center"/>
              <w:rPr>
                <w:rFonts w:hint="eastAsia" w:cs="Arial"/>
                <w:snapToGrid w:val="0"/>
                <w:color w:val="000000"/>
                <w:kern w:val="2"/>
                <w:szCs w:val="21"/>
                <w:lang w:eastAsia="en-US"/>
              </w:rPr>
            </w:pPr>
          </w:p>
        </w:tc>
      </w:tr>
    </w:tbl>
    <w:p w14:paraId="773DBD96">
      <w:pPr>
        <w:autoSpaceDE/>
        <w:autoSpaceDN/>
        <w:spacing w:line="150" w:lineRule="exact"/>
        <w:ind w:firstLine="420"/>
        <w:rPr>
          <w:rFonts w:hint="eastAsia" w:cs="Times New Roman"/>
          <w:kern w:val="2"/>
          <w:szCs w:val="20"/>
        </w:rPr>
      </w:pPr>
    </w:p>
    <w:p w14:paraId="169F26B2">
      <w:pPr>
        <w:autoSpaceDE/>
        <w:autoSpaceDN/>
        <w:spacing w:line="312" w:lineRule="auto"/>
        <w:ind w:firstLine="0" w:firstLineChars="0"/>
        <w:rPr>
          <w:rFonts w:hint="eastAsia" w:cs="Times New Roman"/>
          <w:kern w:val="2"/>
          <w:szCs w:val="20"/>
        </w:rPr>
      </w:pPr>
      <w:r>
        <w:rPr>
          <w:rFonts w:hint="eastAsia" w:cs="Times New Roman"/>
          <w:kern w:val="2"/>
          <w:szCs w:val="20"/>
        </w:rPr>
        <w:t>引用：</w:t>
      </w:r>
      <w:r>
        <w:rPr>
          <w:rFonts w:cs="Times New Roman"/>
          <w:kern w:val="2"/>
          <w:szCs w:val="20"/>
        </w:rPr>
        <w:t>表A.2  质量管理体系风险类型示例</w:t>
      </w:r>
    </w:p>
    <w:tbl>
      <w:tblPr>
        <w:tblStyle w:val="12"/>
        <w:tblW w:w="978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8446"/>
      </w:tblGrid>
      <w:tr w14:paraId="5114F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0" w:hRule="atLeast"/>
          <w:jc w:val="center"/>
        </w:trPr>
        <w:tc>
          <w:tcPr>
            <w:tcW w:w="1336" w:type="dxa"/>
            <w:vAlign w:val="center"/>
          </w:tcPr>
          <w:p w14:paraId="729C303C">
            <w:pPr>
              <w:pStyle w:val="27"/>
              <w:adjustRightInd/>
              <w:snapToGrid/>
              <w:spacing w:after="0"/>
              <w:jc w:val="both"/>
              <w:rPr>
                <w:rFonts w:hint="eastAsia" w:ascii="宋体" w:hAnsi="宋体" w:eastAsia="宋体"/>
                <w:sz w:val="21"/>
                <w:szCs w:val="21"/>
              </w:rPr>
            </w:pPr>
            <w:r>
              <w:rPr>
                <w:rFonts w:ascii="宋体" w:hAnsi="宋体" w:eastAsia="宋体"/>
                <w:spacing w:val="-8"/>
                <w:sz w:val="21"/>
                <w:szCs w:val="21"/>
              </w:rPr>
              <w:t>高风险</w:t>
            </w:r>
          </w:p>
        </w:tc>
        <w:tc>
          <w:tcPr>
            <w:tcW w:w="8446" w:type="dxa"/>
            <w:vAlign w:val="center"/>
          </w:tcPr>
          <w:p w14:paraId="6CF36920">
            <w:pPr>
              <w:pStyle w:val="27"/>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产品或服务失效将引起巨大经济损失或引起生命危险。包</w:t>
            </w:r>
            <w:r>
              <w:rPr>
                <w:rFonts w:ascii="宋体" w:hAnsi="宋体" w:eastAsia="宋体"/>
                <w:spacing w:val="1"/>
                <w:sz w:val="21"/>
                <w:szCs w:val="21"/>
                <w:lang w:eastAsia="zh-CN"/>
              </w:rPr>
              <w:t>括但</w:t>
            </w:r>
            <w:r>
              <w:rPr>
                <w:rFonts w:ascii="宋体" w:hAnsi="宋体" w:eastAsia="宋体"/>
                <w:spacing w:val="2"/>
                <w:sz w:val="21"/>
                <w:szCs w:val="21"/>
                <w:lang w:eastAsia="zh-CN"/>
              </w:rPr>
              <w:t>不限于：食品，药品，飞机，造船，承重部件和结构，</w:t>
            </w:r>
            <w:r>
              <w:rPr>
                <w:rFonts w:ascii="宋体" w:hAnsi="宋体" w:eastAsia="宋体"/>
                <w:spacing w:val="1"/>
                <w:sz w:val="21"/>
                <w:szCs w:val="21"/>
                <w:lang w:eastAsia="zh-CN"/>
              </w:rPr>
              <w:t>复杂的</w:t>
            </w:r>
            <w:r>
              <w:rPr>
                <w:rFonts w:ascii="宋体" w:hAnsi="宋体" w:eastAsia="宋体"/>
                <w:spacing w:val="2"/>
                <w:sz w:val="21"/>
                <w:szCs w:val="21"/>
                <w:lang w:eastAsia="zh-CN"/>
              </w:rPr>
              <w:t>施工活动，电力和燃气设备，医疗卫生服务，捕鱼，核</w:t>
            </w:r>
            <w:r>
              <w:rPr>
                <w:rFonts w:ascii="宋体" w:hAnsi="宋体" w:eastAsia="宋体"/>
                <w:spacing w:val="1"/>
                <w:sz w:val="21"/>
                <w:szCs w:val="21"/>
                <w:lang w:eastAsia="zh-CN"/>
              </w:rPr>
              <w:t>燃料，</w:t>
            </w:r>
            <w:r>
              <w:rPr>
                <w:rFonts w:ascii="宋体" w:hAnsi="宋体" w:eastAsia="宋体"/>
                <w:spacing w:val="-1"/>
                <w:sz w:val="21"/>
                <w:szCs w:val="21"/>
                <w:lang w:eastAsia="zh-CN"/>
              </w:rPr>
              <w:t>化学品，化学制品及纤维。</w:t>
            </w:r>
          </w:p>
        </w:tc>
      </w:tr>
      <w:tr w14:paraId="0A5B7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1336" w:type="dxa"/>
            <w:vAlign w:val="center"/>
          </w:tcPr>
          <w:p w14:paraId="2B50C7CC">
            <w:pPr>
              <w:pStyle w:val="27"/>
              <w:adjustRightInd/>
              <w:snapToGrid/>
              <w:spacing w:after="0"/>
              <w:jc w:val="both"/>
              <w:rPr>
                <w:rFonts w:hint="eastAsia" w:ascii="宋体" w:hAnsi="宋体" w:eastAsia="宋体"/>
                <w:sz w:val="21"/>
                <w:szCs w:val="21"/>
              </w:rPr>
            </w:pPr>
            <w:r>
              <w:rPr>
                <w:rFonts w:ascii="宋体" w:hAnsi="宋体" w:eastAsia="宋体"/>
                <w:spacing w:val="-15"/>
                <w:sz w:val="21"/>
                <w:szCs w:val="21"/>
              </w:rPr>
              <w:t>中风险</w:t>
            </w:r>
          </w:p>
        </w:tc>
        <w:tc>
          <w:tcPr>
            <w:tcW w:w="8446" w:type="dxa"/>
            <w:vAlign w:val="center"/>
          </w:tcPr>
          <w:p w14:paraId="550DB812">
            <w:pPr>
              <w:pStyle w:val="27"/>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产品或服务失效可能引起伤害或疾病。包括但不限于：非</w:t>
            </w:r>
            <w:r>
              <w:rPr>
                <w:rFonts w:ascii="宋体" w:hAnsi="宋体" w:eastAsia="宋体"/>
                <w:spacing w:val="1"/>
                <w:sz w:val="21"/>
                <w:szCs w:val="21"/>
                <w:lang w:eastAsia="zh-CN"/>
              </w:rPr>
              <w:t>承重</w:t>
            </w:r>
            <w:r>
              <w:rPr>
                <w:rFonts w:ascii="宋体" w:hAnsi="宋体" w:eastAsia="宋体"/>
                <w:spacing w:val="-6"/>
                <w:sz w:val="21"/>
                <w:szCs w:val="21"/>
                <w:lang w:eastAsia="zh-CN"/>
              </w:rPr>
              <w:t>部件和结构，简单的施工活动，基础金属及制品，非金属制品，</w:t>
            </w:r>
            <w:r>
              <w:rPr>
                <w:rFonts w:ascii="宋体" w:hAnsi="宋体" w:eastAsia="宋体"/>
                <w:spacing w:val="-1"/>
                <w:sz w:val="21"/>
                <w:szCs w:val="21"/>
                <w:lang w:eastAsia="zh-CN"/>
              </w:rPr>
              <w:t>家具，光学仪器，休闲和个人服务。</w:t>
            </w:r>
          </w:p>
        </w:tc>
      </w:tr>
      <w:tr w14:paraId="186F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1336" w:type="dxa"/>
            <w:vAlign w:val="center"/>
          </w:tcPr>
          <w:p w14:paraId="7217CD06">
            <w:pPr>
              <w:pStyle w:val="27"/>
              <w:adjustRightInd/>
              <w:snapToGrid/>
              <w:spacing w:after="0"/>
              <w:jc w:val="both"/>
              <w:rPr>
                <w:rFonts w:hint="eastAsia" w:ascii="宋体" w:hAnsi="宋体" w:eastAsia="宋体"/>
                <w:sz w:val="21"/>
                <w:szCs w:val="21"/>
              </w:rPr>
            </w:pPr>
            <w:r>
              <w:rPr>
                <w:rFonts w:ascii="宋体" w:hAnsi="宋体" w:eastAsia="宋体"/>
                <w:spacing w:val="-3"/>
                <w:sz w:val="21"/>
                <w:szCs w:val="21"/>
              </w:rPr>
              <w:t>低风险</w:t>
            </w:r>
          </w:p>
        </w:tc>
        <w:tc>
          <w:tcPr>
            <w:tcW w:w="8446" w:type="dxa"/>
            <w:vAlign w:val="center"/>
          </w:tcPr>
          <w:p w14:paraId="16215964">
            <w:pPr>
              <w:pStyle w:val="27"/>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产品或服务失效不太可能引起伤害或疾病。包括但不限于</w:t>
            </w:r>
            <w:r>
              <w:rPr>
                <w:rFonts w:ascii="宋体" w:hAnsi="宋体" w:eastAsia="宋体"/>
                <w:spacing w:val="1"/>
                <w:sz w:val="21"/>
                <w:szCs w:val="21"/>
                <w:lang w:eastAsia="zh-CN"/>
              </w:rPr>
              <w:t>：纺</w:t>
            </w:r>
            <w:r>
              <w:rPr>
                <w:rFonts w:ascii="宋体" w:hAnsi="宋体" w:eastAsia="宋体"/>
                <w:spacing w:val="2"/>
                <w:sz w:val="21"/>
                <w:szCs w:val="21"/>
                <w:lang w:eastAsia="zh-CN"/>
              </w:rPr>
              <w:t>织品和服装，纸浆、纸及纸制品，出版，办公服务，</w:t>
            </w:r>
            <w:r>
              <w:rPr>
                <w:rFonts w:ascii="宋体" w:hAnsi="宋体" w:eastAsia="宋体"/>
                <w:spacing w:val="1"/>
                <w:sz w:val="21"/>
                <w:szCs w:val="21"/>
                <w:lang w:eastAsia="zh-CN"/>
              </w:rPr>
              <w:t>教育，零</w:t>
            </w:r>
            <w:r>
              <w:rPr>
                <w:rFonts w:ascii="宋体" w:hAnsi="宋体" w:eastAsia="宋体"/>
                <w:spacing w:val="-2"/>
                <w:sz w:val="21"/>
                <w:szCs w:val="21"/>
                <w:lang w:eastAsia="zh-CN"/>
              </w:rPr>
              <w:t>售，酒店和餐馆。</w:t>
            </w:r>
          </w:p>
        </w:tc>
      </w:tr>
    </w:tbl>
    <w:p w14:paraId="7793936F">
      <w:pPr>
        <w:autoSpaceDE/>
        <w:autoSpaceDN/>
        <w:spacing w:line="312" w:lineRule="auto"/>
        <w:ind w:firstLine="420"/>
        <w:rPr>
          <w:rFonts w:hint="eastAsia" w:cs="Times New Roman"/>
          <w:kern w:val="2"/>
          <w:szCs w:val="20"/>
        </w:rPr>
      </w:pPr>
      <w:r>
        <w:rPr>
          <w:rFonts w:cs="Times New Roman"/>
          <w:kern w:val="2"/>
          <w:szCs w:val="20"/>
        </w:rPr>
        <w:t>注：1.QMS认证业务的风险通常划分为高风险、中风险和低风险等三个级别，风险类型并非固定不变，表A.2作为示例，供认证机构在确定认证业务风险类型时采用。</w:t>
      </w:r>
    </w:p>
    <w:p w14:paraId="738C022E">
      <w:pPr>
        <w:autoSpaceDE/>
        <w:autoSpaceDN/>
        <w:spacing w:line="312" w:lineRule="auto"/>
        <w:ind w:firstLine="420"/>
        <w:rPr>
          <w:rFonts w:hint="eastAsia" w:cs="Times New Roman"/>
          <w:kern w:val="2"/>
          <w:szCs w:val="20"/>
        </w:rPr>
      </w:pPr>
      <w:r>
        <w:rPr>
          <w:rFonts w:cs="Times New Roman"/>
          <w:kern w:val="2"/>
          <w:szCs w:val="20"/>
        </w:rPr>
        <w:t>2.表A.1和表A.2是认证业务范围划分的基础，认证机构应在表A.1和表A.2的基础上进一步细分。</w:t>
      </w:r>
    </w:p>
    <w:p w14:paraId="4FF17D05">
      <w:pPr>
        <w:pStyle w:val="2"/>
        <w:rPr>
          <w:rFonts w:hint="eastAsia" w:ascii="宋体" w:hAnsi="宋体"/>
        </w:rPr>
        <w:sectPr>
          <w:pgSz w:w="11906" w:h="16839"/>
          <w:pgMar w:top="851" w:right="851" w:bottom="851" w:left="851" w:header="340" w:footer="510" w:gutter="0"/>
          <w:cols w:space="720" w:num="1"/>
          <w:docGrid w:linePitch="286" w:charSpace="0"/>
        </w:sectPr>
      </w:pPr>
      <w:bookmarkStart w:id="157" w:name="_Toc226880965"/>
      <w:bookmarkStart w:id="158" w:name="_Toc22836"/>
    </w:p>
    <w:p w14:paraId="5D3C9E76">
      <w:pPr>
        <w:pStyle w:val="2"/>
        <w:rPr>
          <w:rFonts w:ascii="宋体" w:hAnsi="宋体"/>
        </w:rPr>
      </w:pPr>
      <w:r>
        <w:rPr>
          <w:rFonts w:ascii="宋体" w:hAnsi="宋体"/>
        </w:rPr>
        <w:t>附录 B</w:t>
      </w:r>
      <w:bookmarkStart w:id="159" w:name="bookmark26"/>
      <w:bookmarkEnd w:id="159"/>
      <w:bookmarkStart w:id="160" w:name="bookmark40"/>
      <w:bookmarkEnd w:id="160"/>
      <w:r>
        <w:rPr>
          <w:rFonts w:hint="eastAsia" w:ascii="宋体" w:hAnsi="宋体"/>
        </w:rPr>
        <w:t xml:space="preserve"> CXMS</w:t>
      </w:r>
      <w:r>
        <w:rPr>
          <w:rFonts w:ascii="宋体" w:hAnsi="宋体"/>
        </w:rPr>
        <w:t>认证审核时间要求</w:t>
      </w:r>
      <w:bookmarkEnd w:id="157"/>
      <w:bookmarkEnd w:id="158"/>
    </w:p>
    <w:tbl>
      <w:tblPr>
        <w:tblStyle w:val="12"/>
        <w:tblW w:w="9172"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74763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restart"/>
            <w:tcBorders>
              <w:bottom w:val="nil"/>
            </w:tcBorders>
            <w:vAlign w:val="center"/>
          </w:tcPr>
          <w:p w14:paraId="79980987">
            <w:pPr>
              <w:pStyle w:val="27"/>
              <w:adjustRightInd/>
              <w:snapToGrid/>
              <w:spacing w:after="0"/>
              <w:contextualSpacing/>
              <w:jc w:val="center"/>
              <w:rPr>
                <w:rFonts w:hint="eastAsia" w:ascii="宋体" w:hAnsi="宋体" w:eastAsia="宋体"/>
                <w:sz w:val="21"/>
                <w:szCs w:val="21"/>
              </w:rPr>
            </w:pPr>
            <w:r>
              <w:rPr>
                <w:rFonts w:ascii="宋体" w:hAnsi="宋体" w:eastAsia="宋体"/>
                <w:b/>
                <w:bCs/>
                <w:spacing w:val="-7"/>
                <w:sz w:val="21"/>
                <w:szCs w:val="21"/>
              </w:rPr>
              <w:t>有效人数</w:t>
            </w:r>
          </w:p>
        </w:tc>
        <w:tc>
          <w:tcPr>
            <w:tcW w:w="2758" w:type="dxa"/>
            <w:vAlign w:val="center"/>
          </w:tcPr>
          <w:p w14:paraId="58B27920">
            <w:pPr>
              <w:pStyle w:val="27"/>
              <w:adjustRightInd/>
              <w:snapToGrid/>
              <w:spacing w:after="0"/>
              <w:contextualSpacing/>
              <w:jc w:val="center"/>
              <w:rPr>
                <w:rFonts w:hint="eastAsia" w:ascii="宋体" w:hAnsi="宋体" w:eastAsia="宋体"/>
                <w:sz w:val="21"/>
                <w:szCs w:val="21"/>
              </w:rPr>
            </w:pPr>
            <w:r>
              <w:rPr>
                <w:rFonts w:ascii="宋体" w:hAnsi="宋体" w:eastAsia="宋体"/>
                <w:b/>
                <w:bCs/>
                <w:spacing w:val="-10"/>
                <w:sz w:val="21"/>
                <w:szCs w:val="21"/>
              </w:rPr>
              <w:t>审核时间</w:t>
            </w:r>
          </w:p>
        </w:tc>
        <w:tc>
          <w:tcPr>
            <w:tcW w:w="1724" w:type="dxa"/>
            <w:vMerge w:val="restart"/>
            <w:tcBorders>
              <w:bottom w:val="nil"/>
            </w:tcBorders>
            <w:vAlign w:val="center"/>
          </w:tcPr>
          <w:p w14:paraId="51DDAED8">
            <w:pPr>
              <w:pStyle w:val="27"/>
              <w:adjustRightInd/>
              <w:snapToGrid/>
              <w:spacing w:after="0"/>
              <w:contextualSpacing/>
              <w:jc w:val="center"/>
              <w:rPr>
                <w:rFonts w:hint="eastAsia" w:ascii="宋体" w:hAnsi="宋体" w:eastAsia="宋体"/>
                <w:sz w:val="21"/>
                <w:szCs w:val="21"/>
              </w:rPr>
            </w:pPr>
            <w:r>
              <w:rPr>
                <w:rFonts w:ascii="宋体" w:hAnsi="宋体" w:eastAsia="宋体"/>
                <w:b/>
                <w:bCs/>
                <w:spacing w:val="-7"/>
                <w:sz w:val="21"/>
                <w:szCs w:val="21"/>
              </w:rPr>
              <w:t>有效人数</w:t>
            </w:r>
          </w:p>
        </w:tc>
        <w:tc>
          <w:tcPr>
            <w:tcW w:w="2850" w:type="dxa"/>
            <w:vAlign w:val="center"/>
          </w:tcPr>
          <w:p w14:paraId="408975BA">
            <w:pPr>
              <w:pStyle w:val="27"/>
              <w:adjustRightInd/>
              <w:snapToGrid/>
              <w:spacing w:after="0"/>
              <w:contextualSpacing/>
              <w:jc w:val="center"/>
              <w:rPr>
                <w:rFonts w:hint="eastAsia" w:ascii="宋体" w:hAnsi="宋体" w:eastAsia="宋体"/>
                <w:sz w:val="21"/>
                <w:szCs w:val="21"/>
              </w:rPr>
            </w:pPr>
            <w:r>
              <w:rPr>
                <w:rFonts w:ascii="宋体" w:hAnsi="宋体" w:eastAsia="宋体"/>
                <w:b/>
                <w:bCs/>
                <w:spacing w:val="-10"/>
                <w:sz w:val="21"/>
                <w:szCs w:val="21"/>
              </w:rPr>
              <w:t>审核时间</w:t>
            </w:r>
          </w:p>
        </w:tc>
      </w:tr>
      <w:tr w14:paraId="56908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continue"/>
            <w:tcBorders>
              <w:top w:val="nil"/>
            </w:tcBorders>
            <w:vAlign w:val="center"/>
          </w:tcPr>
          <w:p w14:paraId="75586F13">
            <w:pPr>
              <w:autoSpaceDE/>
              <w:autoSpaceDN/>
              <w:spacing w:line="240" w:lineRule="auto"/>
              <w:ind w:firstLine="0" w:firstLineChars="0"/>
              <w:contextualSpacing/>
              <w:jc w:val="center"/>
              <w:rPr>
                <w:rFonts w:hint="eastAsia" w:cs="Arial"/>
                <w:snapToGrid w:val="0"/>
                <w:color w:val="000000"/>
                <w:kern w:val="2"/>
                <w:szCs w:val="21"/>
                <w:lang w:eastAsia="en-US"/>
              </w:rPr>
            </w:pPr>
          </w:p>
        </w:tc>
        <w:tc>
          <w:tcPr>
            <w:tcW w:w="2758" w:type="dxa"/>
            <w:vAlign w:val="center"/>
          </w:tcPr>
          <w:p w14:paraId="5CAA1F37">
            <w:pPr>
              <w:pStyle w:val="27"/>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39"/>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30"/>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057C6FCE">
            <w:pPr>
              <w:pStyle w:val="27"/>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c>
          <w:tcPr>
            <w:tcW w:w="1724" w:type="dxa"/>
            <w:vMerge w:val="continue"/>
            <w:tcBorders>
              <w:top w:val="nil"/>
            </w:tcBorders>
            <w:vAlign w:val="center"/>
          </w:tcPr>
          <w:p w14:paraId="11D9D7C1">
            <w:pPr>
              <w:autoSpaceDE/>
              <w:autoSpaceDN/>
              <w:spacing w:line="240" w:lineRule="auto"/>
              <w:ind w:firstLine="0" w:firstLineChars="0"/>
              <w:contextualSpacing/>
              <w:jc w:val="center"/>
              <w:rPr>
                <w:rFonts w:hint="eastAsia" w:cs="Arial"/>
                <w:snapToGrid w:val="0"/>
                <w:color w:val="000000"/>
                <w:kern w:val="2"/>
                <w:szCs w:val="21"/>
              </w:rPr>
            </w:pPr>
          </w:p>
        </w:tc>
        <w:tc>
          <w:tcPr>
            <w:tcW w:w="2850" w:type="dxa"/>
            <w:vAlign w:val="center"/>
          </w:tcPr>
          <w:p w14:paraId="6D36B724">
            <w:pPr>
              <w:pStyle w:val="27"/>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42"/>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671CCA79">
            <w:pPr>
              <w:pStyle w:val="27"/>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r>
      <w:tr w14:paraId="3268C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00C36F3A">
            <w:pPr>
              <w:pStyle w:val="27"/>
              <w:adjustRightInd/>
              <w:snapToGrid/>
              <w:spacing w:after="0"/>
              <w:contextualSpacing/>
              <w:jc w:val="center"/>
              <w:rPr>
                <w:rFonts w:hint="eastAsia" w:ascii="宋体" w:hAnsi="宋体" w:eastAsia="宋体"/>
                <w:sz w:val="21"/>
                <w:szCs w:val="21"/>
              </w:rPr>
            </w:pPr>
            <w:r>
              <w:rPr>
                <w:rFonts w:ascii="宋体" w:hAnsi="宋体" w:eastAsia="宋体"/>
                <w:spacing w:val="-33"/>
                <w:sz w:val="21"/>
                <w:szCs w:val="21"/>
              </w:rPr>
              <w:t>≤</w:t>
            </w:r>
            <w:r>
              <w:rPr>
                <w:rFonts w:ascii="宋体" w:hAnsi="宋体" w:eastAsia="宋体"/>
                <w:spacing w:val="-111"/>
                <w:sz w:val="21"/>
                <w:szCs w:val="21"/>
              </w:rPr>
              <w:t xml:space="preserve"> </w:t>
            </w:r>
            <w:r>
              <w:rPr>
                <w:rFonts w:ascii="宋体" w:hAnsi="宋体" w:eastAsia="宋体"/>
                <w:spacing w:val="-33"/>
                <w:sz w:val="21"/>
                <w:szCs w:val="21"/>
              </w:rPr>
              <w:t>15</w:t>
            </w:r>
          </w:p>
        </w:tc>
        <w:tc>
          <w:tcPr>
            <w:tcW w:w="2758" w:type="dxa"/>
            <w:vAlign w:val="center"/>
          </w:tcPr>
          <w:p w14:paraId="648EB200">
            <w:pPr>
              <w:pStyle w:val="27"/>
              <w:adjustRightInd/>
              <w:snapToGrid/>
              <w:spacing w:after="0"/>
              <w:contextualSpacing/>
              <w:jc w:val="center"/>
              <w:rPr>
                <w:rFonts w:hint="eastAsia" w:ascii="宋体" w:hAnsi="宋体" w:eastAsia="宋体"/>
                <w:sz w:val="21"/>
                <w:szCs w:val="21"/>
              </w:rPr>
            </w:pPr>
            <w:r>
              <w:rPr>
                <w:rFonts w:ascii="宋体" w:hAnsi="宋体" w:eastAsia="宋体"/>
                <w:spacing w:val="-7"/>
                <w:sz w:val="21"/>
                <w:szCs w:val="21"/>
              </w:rPr>
              <w:t>2.5</w:t>
            </w:r>
          </w:p>
        </w:tc>
        <w:tc>
          <w:tcPr>
            <w:tcW w:w="1724" w:type="dxa"/>
            <w:vAlign w:val="center"/>
          </w:tcPr>
          <w:p w14:paraId="514F911A">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876-1175</w:t>
            </w:r>
          </w:p>
        </w:tc>
        <w:tc>
          <w:tcPr>
            <w:tcW w:w="2850" w:type="dxa"/>
            <w:vAlign w:val="center"/>
          </w:tcPr>
          <w:p w14:paraId="747E7559">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13</w:t>
            </w:r>
          </w:p>
        </w:tc>
      </w:tr>
      <w:tr w14:paraId="42106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9C88408">
            <w:pPr>
              <w:pStyle w:val="27"/>
              <w:adjustRightInd/>
              <w:snapToGrid/>
              <w:spacing w:after="0"/>
              <w:contextualSpacing/>
              <w:jc w:val="center"/>
              <w:rPr>
                <w:rFonts w:hint="eastAsia" w:ascii="宋体" w:hAnsi="宋体" w:eastAsia="宋体"/>
                <w:sz w:val="21"/>
                <w:szCs w:val="21"/>
              </w:rPr>
            </w:pPr>
            <w:r>
              <w:rPr>
                <w:rFonts w:ascii="宋体" w:hAnsi="宋体" w:eastAsia="宋体"/>
                <w:spacing w:val="-6"/>
                <w:sz w:val="21"/>
                <w:szCs w:val="21"/>
              </w:rPr>
              <w:t>16-25</w:t>
            </w:r>
          </w:p>
        </w:tc>
        <w:tc>
          <w:tcPr>
            <w:tcW w:w="2758" w:type="dxa"/>
            <w:vAlign w:val="center"/>
          </w:tcPr>
          <w:p w14:paraId="1C7E296F">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3</w:t>
            </w:r>
          </w:p>
        </w:tc>
        <w:tc>
          <w:tcPr>
            <w:tcW w:w="1724" w:type="dxa"/>
            <w:vAlign w:val="center"/>
          </w:tcPr>
          <w:p w14:paraId="2F084AFC">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1176-1550</w:t>
            </w:r>
          </w:p>
        </w:tc>
        <w:tc>
          <w:tcPr>
            <w:tcW w:w="2850" w:type="dxa"/>
            <w:vAlign w:val="center"/>
          </w:tcPr>
          <w:p w14:paraId="6C318035">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14</w:t>
            </w:r>
          </w:p>
        </w:tc>
      </w:tr>
      <w:tr w14:paraId="571D0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0AA1357B">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26-45</w:t>
            </w:r>
          </w:p>
        </w:tc>
        <w:tc>
          <w:tcPr>
            <w:tcW w:w="2758" w:type="dxa"/>
            <w:vAlign w:val="center"/>
          </w:tcPr>
          <w:p w14:paraId="658D62A2">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4</w:t>
            </w:r>
          </w:p>
        </w:tc>
        <w:tc>
          <w:tcPr>
            <w:tcW w:w="1724" w:type="dxa"/>
            <w:vAlign w:val="center"/>
          </w:tcPr>
          <w:p w14:paraId="7C0DCE78">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1551-2025</w:t>
            </w:r>
          </w:p>
        </w:tc>
        <w:tc>
          <w:tcPr>
            <w:tcW w:w="2850" w:type="dxa"/>
            <w:vAlign w:val="center"/>
          </w:tcPr>
          <w:p w14:paraId="38B6C7D5">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15</w:t>
            </w:r>
          </w:p>
        </w:tc>
      </w:tr>
      <w:tr w14:paraId="6E23F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0EE79E55">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46-65</w:t>
            </w:r>
          </w:p>
        </w:tc>
        <w:tc>
          <w:tcPr>
            <w:tcW w:w="2758" w:type="dxa"/>
            <w:vAlign w:val="center"/>
          </w:tcPr>
          <w:p w14:paraId="66B1DD65">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5</w:t>
            </w:r>
          </w:p>
        </w:tc>
        <w:tc>
          <w:tcPr>
            <w:tcW w:w="1724" w:type="dxa"/>
            <w:vAlign w:val="center"/>
          </w:tcPr>
          <w:p w14:paraId="50876693">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2026-2675</w:t>
            </w:r>
          </w:p>
        </w:tc>
        <w:tc>
          <w:tcPr>
            <w:tcW w:w="2850" w:type="dxa"/>
            <w:vAlign w:val="center"/>
          </w:tcPr>
          <w:p w14:paraId="7576EB0B">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16</w:t>
            </w:r>
          </w:p>
        </w:tc>
      </w:tr>
      <w:tr w14:paraId="0C560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4B200D3">
            <w:pPr>
              <w:pStyle w:val="27"/>
              <w:adjustRightInd/>
              <w:snapToGrid/>
              <w:spacing w:after="0"/>
              <w:contextualSpacing/>
              <w:jc w:val="center"/>
              <w:rPr>
                <w:rFonts w:hint="eastAsia" w:ascii="宋体" w:hAnsi="宋体" w:eastAsia="宋体"/>
                <w:sz w:val="21"/>
                <w:szCs w:val="21"/>
              </w:rPr>
            </w:pPr>
            <w:r>
              <w:rPr>
                <w:rFonts w:ascii="宋体" w:hAnsi="宋体" w:eastAsia="宋体"/>
                <w:spacing w:val="-5"/>
                <w:sz w:val="21"/>
                <w:szCs w:val="21"/>
              </w:rPr>
              <w:t>66-85</w:t>
            </w:r>
          </w:p>
        </w:tc>
        <w:tc>
          <w:tcPr>
            <w:tcW w:w="2758" w:type="dxa"/>
            <w:vAlign w:val="center"/>
          </w:tcPr>
          <w:p w14:paraId="6BD68C45">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6</w:t>
            </w:r>
          </w:p>
        </w:tc>
        <w:tc>
          <w:tcPr>
            <w:tcW w:w="1724" w:type="dxa"/>
            <w:vAlign w:val="center"/>
          </w:tcPr>
          <w:p w14:paraId="20D02961">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2676-3450</w:t>
            </w:r>
          </w:p>
        </w:tc>
        <w:tc>
          <w:tcPr>
            <w:tcW w:w="2850" w:type="dxa"/>
            <w:vAlign w:val="center"/>
          </w:tcPr>
          <w:p w14:paraId="6CD040E2">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17</w:t>
            </w:r>
          </w:p>
        </w:tc>
      </w:tr>
      <w:tr w14:paraId="4E97F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5B183339">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86-125</w:t>
            </w:r>
          </w:p>
        </w:tc>
        <w:tc>
          <w:tcPr>
            <w:tcW w:w="2758" w:type="dxa"/>
            <w:vAlign w:val="center"/>
          </w:tcPr>
          <w:p w14:paraId="4A71F044">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7</w:t>
            </w:r>
          </w:p>
        </w:tc>
        <w:tc>
          <w:tcPr>
            <w:tcW w:w="1724" w:type="dxa"/>
            <w:vAlign w:val="center"/>
          </w:tcPr>
          <w:p w14:paraId="101B4363">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3451-4350</w:t>
            </w:r>
          </w:p>
        </w:tc>
        <w:tc>
          <w:tcPr>
            <w:tcW w:w="2850" w:type="dxa"/>
            <w:vAlign w:val="center"/>
          </w:tcPr>
          <w:p w14:paraId="00F4E8E9">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18</w:t>
            </w:r>
          </w:p>
        </w:tc>
      </w:tr>
      <w:tr w14:paraId="2D928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362FF03E">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126-175</w:t>
            </w:r>
          </w:p>
        </w:tc>
        <w:tc>
          <w:tcPr>
            <w:tcW w:w="2758" w:type="dxa"/>
            <w:vAlign w:val="center"/>
          </w:tcPr>
          <w:p w14:paraId="6820582F">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8</w:t>
            </w:r>
          </w:p>
        </w:tc>
        <w:tc>
          <w:tcPr>
            <w:tcW w:w="1724" w:type="dxa"/>
            <w:vAlign w:val="center"/>
          </w:tcPr>
          <w:p w14:paraId="3BE3DEDD">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4351-5450</w:t>
            </w:r>
          </w:p>
        </w:tc>
        <w:tc>
          <w:tcPr>
            <w:tcW w:w="2850" w:type="dxa"/>
            <w:vAlign w:val="center"/>
          </w:tcPr>
          <w:p w14:paraId="2FE98B52">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19</w:t>
            </w:r>
          </w:p>
        </w:tc>
      </w:tr>
      <w:tr w14:paraId="23651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68D58171">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176-275</w:t>
            </w:r>
          </w:p>
        </w:tc>
        <w:tc>
          <w:tcPr>
            <w:tcW w:w="2758" w:type="dxa"/>
            <w:vAlign w:val="center"/>
          </w:tcPr>
          <w:p w14:paraId="61D3AF54">
            <w:pPr>
              <w:pStyle w:val="27"/>
              <w:adjustRightInd/>
              <w:snapToGrid/>
              <w:spacing w:after="0"/>
              <w:contextualSpacing/>
              <w:jc w:val="center"/>
              <w:rPr>
                <w:rFonts w:hint="eastAsia" w:ascii="宋体" w:hAnsi="宋体" w:eastAsia="宋体"/>
                <w:sz w:val="21"/>
                <w:szCs w:val="21"/>
              </w:rPr>
            </w:pPr>
            <w:r>
              <w:rPr>
                <w:rFonts w:ascii="宋体" w:hAnsi="宋体" w:eastAsia="宋体"/>
                <w:sz w:val="21"/>
                <w:szCs w:val="21"/>
              </w:rPr>
              <w:t>9</w:t>
            </w:r>
          </w:p>
        </w:tc>
        <w:tc>
          <w:tcPr>
            <w:tcW w:w="1724" w:type="dxa"/>
            <w:vAlign w:val="center"/>
          </w:tcPr>
          <w:p w14:paraId="10FA1D35">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5451-6800</w:t>
            </w:r>
          </w:p>
        </w:tc>
        <w:tc>
          <w:tcPr>
            <w:tcW w:w="2850" w:type="dxa"/>
            <w:vAlign w:val="center"/>
          </w:tcPr>
          <w:p w14:paraId="663F3F1C">
            <w:pPr>
              <w:pStyle w:val="27"/>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20</w:t>
            </w:r>
          </w:p>
        </w:tc>
      </w:tr>
      <w:tr w14:paraId="4E1B9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7877A54">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276-425</w:t>
            </w:r>
          </w:p>
        </w:tc>
        <w:tc>
          <w:tcPr>
            <w:tcW w:w="2758" w:type="dxa"/>
            <w:vAlign w:val="center"/>
          </w:tcPr>
          <w:p w14:paraId="236CE74C">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10</w:t>
            </w:r>
          </w:p>
        </w:tc>
        <w:tc>
          <w:tcPr>
            <w:tcW w:w="1724" w:type="dxa"/>
            <w:vAlign w:val="center"/>
          </w:tcPr>
          <w:p w14:paraId="23F20EFA">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6801-8500</w:t>
            </w:r>
          </w:p>
        </w:tc>
        <w:tc>
          <w:tcPr>
            <w:tcW w:w="2850" w:type="dxa"/>
            <w:vAlign w:val="center"/>
          </w:tcPr>
          <w:p w14:paraId="1835416C">
            <w:pPr>
              <w:pStyle w:val="27"/>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21</w:t>
            </w:r>
          </w:p>
        </w:tc>
      </w:tr>
      <w:tr w14:paraId="7AF75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12F058E9">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426-625</w:t>
            </w:r>
          </w:p>
        </w:tc>
        <w:tc>
          <w:tcPr>
            <w:tcW w:w="2758" w:type="dxa"/>
            <w:vAlign w:val="center"/>
          </w:tcPr>
          <w:p w14:paraId="298F9021">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11</w:t>
            </w:r>
          </w:p>
        </w:tc>
        <w:tc>
          <w:tcPr>
            <w:tcW w:w="1724" w:type="dxa"/>
            <w:vAlign w:val="center"/>
          </w:tcPr>
          <w:p w14:paraId="0398FF49">
            <w:pPr>
              <w:pStyle w:val="27"/>
              <w:adjustRightInd/>
              <w:snapToGrid/>
              <w:spacing w:after="0"/>
              <w:contextualSpacing/>
              <w:jc w:val="center"/>
              <w:rPr>
                <w:rFonts w:hint="eastAsia" w:ascii="宋体" w:hAnsi="宋体" w:eastAsia="宋体"/>
                <w:sz w:val="21"/>
                <w:szCs w:val="21"/>
              </w:rPr>
            </w:pPr>
            <w:r>
              <w:rPr>
                <w:rFonts w:ascii="宋体" w:hAnsi="宋体" w:eastAsia="宋体"/>
                <w:spacing w:val="-3"/>
                <w:sz w:val="21"/>
                <w:szCs w:val="21"/>
              </w:rPr>
              <w:t>8501-10700</w:t>
            </w:r>
          </w:p>
        </w:tc>
        <w:tc>
          <w:tcPr>
            <w:tcW w:w="2850" w:type="dxa"/>
            <w:vAlign w:val="center"/>
          </w:tcPr>
          <w:p w14:paraId="1F8636F7">
            <w:pPr>
              <w:pStyle w:val="27"/>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22</w:t>
            </w:r>
          </w:p>
        </w:tc>
      </w:tr>
      <w:tr w14:paraId="7E544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D11097C">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626-875</w:t>
            </w:r>
          </w:p>
        </w:tc>
        <w:tc>
          <w:tcPr>
            <w:tcW w:w="2758" w:type="dxa"/>
            <w:vAlign w:val="center"/>
          </w:tcPr>
          <w:p w14:paraId="11A5CB44">
            <w:pPr>
              <w:pStyle w:val="27"/>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12</w:t>
            </w:r>
          </w:p>
        </w:tc>
        <w:tc>
          <w:tcPr>
            <w:tcW w:w="1724" w:type="dxa"/>
            <w:vAlign w:val="center"/>
          </w:tcPr>
          <w:p w14:paraId="2073B4DD">
            <w:pPr>
              <w:pStyle w:val="27"/>
              <w:adjustRightInd/>
              <w:snapToGrid/>
              <w:spacing w:after="0"/>
              <w:contextualSpacing/>
              <w:jc w:val="center"/>
              <w:rPr>
                <w:rFonts w:hint="eastAsia" w:ascii="宋体" w:hAnsi="宋体" w:eastAsia="宋体"/>
                <w:sz w:val="21"/>
                <w:szCs w:val="21"/>
              </w:rPr>
            </w:pPr>
            <w:r>
              <w:rPr>
                <w:rFonts w:ascii="宋体" w:hAnsi="宋体" w:eastAsia="宋体"/>
                <w:spacing w:val="-4"/>
                <w:sz w:val="21"/>
                <w:szCs w:val="21"/>
              </w:rPr>
              <w:t>&gt;10700</w:t>
            </w:r>
          </w:p>
        </w:tc>
        <w:tc>
          <w:tcPr>
            <w:tcW w:w="2850" w:type="dxa"/>
            <w:vAlign w:val="center"/>
          </w:tcPr>
          <w:p w14:paraId="11EE4EDD">
            <w:pPr>
              <w:pStyle w:val="27"/>
              <w:adjustRightInd/>
              <w:snapToGrid/>
              <w:spacing w:after="0"/>
              <w:contextualSpacing/>
              <w:jc w:val="center"/>
              <w:rPr>
                <w:rFonts w:hint="eastAsia" w:ascii="宋体" w:hAnsi="宋体" w:eastAsia="宋体"/>
                <w:sz w:val="21"/>
                <w:szCs w:val="21"/>
              </w:rPr>
            </w:pPr>
            <w:r>
              <w:rPr>
                <w:rFonts w:ascii="宋体" w:hAnsi="宋体" w:eastAsia="宋体"/>
                <w:spacing w:val="-2"/>
                <w:sz w:val="21"/>
                <w:szCs w:val="21"/>
              </w:rPr>
              <w:t>遵循上述递进规律</w:t>
            </w:r>
          </w:p>
        </w:tc>
      </w:tr>
    </w:tbl>
    <w:p w14:paraId="012F4B5B">
      <w:pPr>
        <w:autoSpaceDE/>
        <w:autoSpaceDN/>
        <w:spacing w:line="312" w:lineRule="auto"/>
        <w:ind w:firstLine="420"/>
        <w:rPr>
          <w:rFonts w:hint="eastAsia" w:cs="Times New Roman"/>
          <w:kern w:val="2"/>
          <w:szCs w:val="20"/>
        </w:rPr>
      </w:pPr>
      <w:r>
        <w:rPr>
          <w:rFonts w:cs="Times New Roman"/>
          <w:kern w:val="2"/>
          <w:szCs w:val="20"/>
        </w:rPr>
        <w:t>注：</w:t>
      </w:r>
    </w:p>
    <w:p w14:paraId="0E6A9457">
      <w:pPr>
        <w:autoSpaceDE/>
        <w:autoSpaceDN/>
        <w:spacing w:line="312" w:lineRule="auto"/>
        <w:ind w:firstLine="420"/>
        <w:rPr>
          <w:rFonts w:hint="eastAsia" w:cs="Times New Roman"/>
          <w:kern w:val="2"/>
          <w:szCs w:val="20"/>
        </w:rPr>
      </w:pPr>
      <w:r>
        <w:rPr>
          <w:rFonts w:cs="Times New Roman"/>
          <w:kern w:val="2"/>
          <w:szCs w:val="20"/>
        </w:rPr>
        <w:t>1.有效人数包括认证范围内涉及的所有人员（含每个班次的人员）。认证范围内覆盖的非固定人员（如承包商人员）和兼职人员也应包括在有效人数内。</w:t>
      </w:r>
    </w:p>
    <w:p w14:paraId="29C97C83">
      <w:pPr>
        <w:autoSpaceDE/>
        <w:autoSpaceDN/>
        <w:spacing w:line="312" w:lineRule="auto"/>
        <w:ind w:firstLine="420"/>
        <w:rPr>
          <w:rFonts w:hint="eastAsia" w:cs="Times New Roman"/>
          <w:kern w:val="2"/>
          <w:szCs w:val="20"/>
        </w:rPr>
      </w:pPr>
      <w:r>
        <w:rPr>
          <w:rFonts w:cs="Times New Roman"/>
          <w:kern w:val="2"/>
          <w:szCs w:val="20"/>
        </w:rPr>
        <w:t>2.对非固定人员（包括季节性人员 、临时人员和分包商人员）和兼职人员的有效人数确定 ，可根据其实际工作小时数予以适当减少或换算成等效的全职人员数。</w:t>
      </w:r>
    </w:p>
    <w:p w14:paraId="31BA87B1">
      <w:pPr>
        <w:autoSpaceDE/>
        <w:autoSpaceDN/>
        <w:spacing w:line="312" w:lineRule="auto"/>
        <w:ind w:firstLine="420"/>
        <w:rPr>
          <w:rFonts w:hint="eastAsia" w:cs="Times New Roman"/>
          <w:kern w:val="2"/>
          <w:szCs w:val="20"/>
        </w:rPr>
      </w:pPr>
      <w:r>
        <w:rPr>
          <w:rFonts w:cs="Times New Roman"/>
          <w:kern w:val="2"/>
          <w:szCs w:val="20"/>
        </w:rPr>
        <w:t>3.认证委托人正常工作期间（包括轮班）安排的审核时间可以计入有效的管理体系</w:t>
      </w:r>
    </w:p>
    <w:p w14:paraId="5BF4682E">
      <w:pPr>
        <w:autoSpaceDE/>
        <w:autoSpaceDN/>
        <w:spacing w:line="312" w:lineRule="auto"/>
        <w:ind w:firstLine="420"/>
        <w:rPr>
          <w:rFonts w:hint="eastAsia" w:cs="Times New Roman"/>
          <w:kern w:val="2"/>
          <w:szCs w:val="20"/>
        </w:rPr>
      </w:pPr>
      <w:r>
        <w:rPr>
          <w:rFonts w:cs="Times New Roman"/>
          <w:kern w:val="2"/>
          <w:szCs w:val="20"/>
        </w:rPr>
        <w:t>认证审核时间 ，但往返多个审核场所之间所花费的路途时间不计入有效的管理体系认证审核时间。</w:t>
      </w:r>
    </w:p>
    <w:p w14:paraId="4A4D8ADC">
      <w:pPr>
        <w:autoSpaceDE/>
        <w:autoSpaceDN/>
        <w:spacing w:line="312" w:lineRule="auto"/>
        <w:ind w:firstLine="420"/>
        <w:rPr>
          <w:rFonts w:hint="eastAsia" w:cs="Times New Roman"/>
          <w:kern w:val="2"/>
          <w:szCs w:val="20"/>
        </w:rPr>
      </w:pPr>
      <w:r>
        <w:rPr>
          <w:rFonts w:cs="Times New Roman"/>
          <w:kern w:val="2"/>
          <w:szCs w:val="20"/>
        </w:rPr>
        <w:t>4.被确定为低风险认证业务类别的 ，认证审核活动可根据需要在按照附录 B 计算所得审核时间的基础上， 最多减少 10%；被确定为中风险认证业务类别的 ，认证审核活动应按照附录 B 计算审核时间；被确定为高风险认证业务类别的 ，认证审核活动应在按照附录 B 计算所得审核时间的基础上， 至少增加 10%。</w:t>
      </w:r>
    </w:p>
    <w:p w14:paraId="1BD4E980">
      <w:pPr>
        <w:spacing w:line="305" w:lineRule="auto"/>
        <w:ind w:firstLine="480"/>
        <w:rPr>
          <w:rFonts w:hint="eastAsia" w:cs="华文仿宋"/>
          <w:sz w:val="24"/>
          <w:szCs w:val="24"/>
        </w:rPr>
        <w:sectPr>
          <w:pgSz w:w="11906" w:h="16839"/>
          <w:pgMar w:top="851" w:right="851" w:bottom="851" w:left="851" w:header="340" w:footer="510" w:gutter="0"/>
          <w:cols w:space="720" w:num="1"/>
          <w:docGrid w:linePitch="286" w:charSpace="0"/>
        </w:sectPr>
      </w:pPr>
    </w:p>
    <w:p w14:paraId="520E833B">
      <w:pPr>
        <w:pStyle w:val="2"/>
        <w:rPr>
          <w:rFonts w:ascii="宋体" w:hAnsi="宋体"/>
        </w:rPr>
      </w:pPr>
      <w:bookmarkStart w:id="161" w:name="_Toc226880966"/>
      <w:bookmarkStart w:id="162" w:name="_Toc28431"/>
      <w:r>
        <w:rPr>
          <w:rFonts w:ascii="宋体" w:hAnsi="宋体"/>
        </w:rPr>
        <w:t>附录 C</w:t>
      </w:r>
      <w:bookmarkStart w:id="163" w:name="bookmark27"/>
      <w:bookmarkEnd w:id="163"/>
      <w:r>
        <w:rPr>
          <w:rFonts w:hint="eastAsia" w:ascii="宋体" w:hAnsi="宋体"/>
        </w:rPr>
        <w:t xml:space="preserve"> CXMS</w:t>
      </w:r>
      <w:r>
        <w:rPr>
          <w:rFonts w:ascii="宋体" w:hAnsi="宋体"/>
        </w:rPr>
        <w:t>认证证书编号规则</w:t>
      </w:r>
      <w:bookmarkEnd w:id="161"/>
      <w:bookmarkEnd w:id="162"/>
    </w:p>
    <w:p w14:paraId="11CD3CF6">
      <w:pPr>
        <w:autoSpaceDE/>
        <w:autoSpaceDN/>
        <w:spacing w:line="312" w:lineRule="auto"/>
        <w:ind w:firstLine="420"/>
        <w:rPr>
          <w:rFonts w:hint="eastAsia" w:cs="Times New Roman"/>
          <w:kern w:val="2"/>
          <w:szCs w:val="20"/>
        </w:rPr>
      </w:pPr>
      <w:r>
        <w:rPr>
          <w:rFonts w:cs="Times New Roman"/>
          <w:kern w:val="2"/>
          <w:szCs w:val="20"/>
        </w:rPr>
        <w:t xml:space="preserve">C.1 </w:t>
      </w:r>
      <w:r>
        <w:rPr>
          <w:rFonts w:hint="eastAsia" w:cs="Times New Roman"/>
          <w:kern w:val="2"/>
          <w:sz w:val="19"/>
          <w:szCs w:val="19"/>
        </w:rPr>
        <w:t>CXMS</w:t>
      </w:r>
      <w:r>
        <w:rPr>
          <w:rFonts w:cs="Times New Roman"/>
          <w:kern w:val="2"/>
          <w:szCs w:val="20"/>
        </w:rPr>
        <w:t>认证证书编号由认证机构代码、发证年份号、</w:t>
      </w:r>
      <w:r>
        <w:rPr>
          <w:rFonts w:hint="eastAsia" w:cs="Times New Roman"/>
          <w:kern w:val="2"/>
          <w:szCs w:val="20"/>
        </w:rPr>
        <w:t>CXMS</w:t>
      </w:r>
      <w:r>
        <w:rPr>
          <w:rFonts w:cs="Times New Roman"/>
          <w:kern w:val="2"/>
          <w:szCs w:val="20"/>
        </w:rPr>
        <w:t xml:space="preserve"> 简写、顺序号、认证周期、认可机构代码和子证书号构成，格式如下：</w:t>
      </w:r>
    </w:p>
    <w:p w14:paraId="09A86AA2">
      <w:pPr>
        <w:autoSpaceDE/>
        <w:autoSpaceDN/>
        <w:spacing w:line="54" w:lineRule="exact"/>
        <w:ind w:firstLine="420"/>
        <w:rPr>
          <w:rFonts w:hint="eastAsia" w:cs="Times New Roman"/>
          <w:kern w:val="2"/>
          <w:szCs w:val="20"/>
        </w:rPr>
      </w:pPr>
    </w:p>
    <w:tbl>
      <w:tblPr>
        <w:tblStyle w:val="12"/>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10AABD0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1D0F8459">
            <w:pPr>
              <w:autoSpaceDE/>
              <w:autoSpaceDN/>
              <w:spacing w:before="36" w:after="160" w:line="192" w:lineRule="auto"/>
              <w:ind w:left="101" w:firstLine="0" w:firstLineChars="0"/>
              <w:rPr>
                <w:rFonts w:hint="eastAsia" w:cs="Times New Roman"/>
                <w:snapToGrid w:val="0"/>
                <w:color w:val="000000"/>
                <w:kern w:val="2"/>
                <w:sz w:val="19"/>
                <w:szCs w:val="19"/>
                <w:lang w:eastAsia="en-US"/>
              </w:rPr>
            </w:pPr>
            <w:r>
              <w:rPr>
                <w:rFonts w:cs="Times New Roman"/>
                <w:snapToGrid w:val="0"/>
                <w:color w:val="000000"/>
                <w:spacing w:val="6"/>
                <w:kern w:val="2"/>
                <w:sz w:val="19"/>
                <w:szCs w:val="19"/>
                <w:lang w:eastAsia="en-US"/>
              </w:rPr>
              <w:t>XXXX</w:t>
            </w:r>
          </w:p>
        </w:tc>
        <w:tc>
          <w:tcPr>
            <w:tcW w:w="1429" w:type="dxa"/>
          </w:tcPr>
          <w:p w14:paraId="77550659">
            <w:pPr>
              <w:autoSpaceDE/>
              <w:autoSpaceDN/>
              <w:spacing w:before="36" w:after="160" w:line="192" w:lineRule="auto"/>
              <w:ind w:firstLine="600" w:firstLineChars="300"/>
              <w:rPr>
                <w:rFonts w:hint="eastAsia" w:cs="Times New Roman"/>
                <w:snapToGrid w:val="0"/>
                <w:color w:val="000000"/>
                <w:kern w:val="2"/>
                <w:sz w:val="19"/>
                <w:szCs w:val="19"/>
                <w:lang w:eastAsia="en-US"/>
              </w:rPr>
            </w:pPr>
            <w:r>
              <w:rPr>
                <w:rFonts w:cs="Times New Roman"/>
                <w:snapToGrid w:val="0"/>
                <w:color w:val="000000"/>
                <w:spacing w:val="5"/>
                <w:kern w:val="2"/>
                <w:sz w:val="19"/>
                <w:szCs w:val="19"/>
                <w:lang w:eastAsia="en-US"/>
              </w:rPr>
              <w:t>XX</w:t>
            </w:r>
          </w:p>
        </w:tc>
        <w:tc>
          <w:tcPr>
            <w:tcW w:w="1345" w:type="dxa"/>
          </w:tcPr>
          <w:p w14:paraId="13E17122">
            <w:pPr>
              <w:autoSpaceDE/>
              <w:autoSpaceDN/>
              <w:spacing w:before="33" w:after="160" w:line="197" w:lineRule="auto"/>
              <w:ind w:firstLine="579" w:firstLineChars="305"/>
              <w:rPr>
                <w:rFonts w:hint="eastAsia" w:cs="Times New Roman"/>
                <w:snapToGrid w:val="0"/>
                <w:color w:val="000000"/>
                <w:kern w:val="2"/>
                <w:sz w:val="19"/>
                <w:szCs w:val="19"/>
              </w:rPr>
            </w:pPr>
            <w:r>
              <w:rPr>
                <w:rFonts w:hint="eastAsia" w:cs="Times New Roman"/>
                <w:kern w:val="2"/>
                <w:sz w:val="19"/>
                <w:szCs w:val="19"/>
              </w:rPr>
              <w:t>CX</w:t>
            </w:r>
          </w:p>
        </w:tc>
        <w:tc>
          <w:tcPr>
            <w:tcW w:w="1176" w:type="dxa"/>
          </w:tcPr>
          <w:p w14:paraId="4ABDCEF0">
            <w:pPr>
              <w:autoSpaceDE/>
              <w:autoSpaceDN/>
              <w:spacing w:before="36" w:after="160" w:line="192" w:lineRule="auto"/>
              <w:ind w:left="292" w:firstLine="0" w:firstLineChars="0"/>
              <w:rPr>
                <w:rFonts w:hint="eastAsia" w:cs="Times New Roman"/>
                <w:snapToGrid w:val="0"/>
                <w:color w:val="000000"/>
                <w:kern w:val="2"/>
                <w:sz w:val="19"/>
                <w:szCs w:val="19"/>
                <w:lang w:eastAsia="en-US"/>
              </w:rPr>
            </w:pPr>
            <w:r>
              <w:rPr>
                <w:rFonts w:cs="Times New Roman"/>
                <w:snapToGrid w:val="0"/>
                <w:color w:val="000000"/>
                <w:spacing w:val="6"/>
                <w:kern w:val="2"/>
                <w:sz w:val="19"/>
                <w:szCs w:val="19"/>
                <w:lang w:eastAsia="en-US"/>
              </w:rPr>
              <w:t>XXXXX</w:t>
            </w:r>
          </w:p>
        </w:tc>
        <w:tc>
          <w:tcPr>
            <w:tcW w:w="1488" w:type="dxa"/>
          </w:tcPr>
          <w:p w14:paraId="6EB89FC2">
            <w:pPr>
              <w:pStyle w:val="27"/>
              <w:spacing w:line="234" w:lineRule="auto"/>
              <w:ind w:left="164" w:firstLine="232"/>
              <w:rPr>
                <w:rFonts w:hint="eastAsia" w:ascii="宋体" w:hAnsi="宋体" w:eastAsia="宋体"/>
                <w:sz w:val="19"/>
                <w:szCs w:val="19"/>
              </w:rPr>
            </w:pPr>
            <w:r>
              <w:rPr>
                <w:rFonts w:ascii="宋体" w:hAnsi="宋体" w:eastAsia="宋体" w:cs="Times New Roman"/>
                <w:spacing w:val="-34"/>
                <w:w w:val="97"/>
                <w:sz w:val="19"/>
                <w:szCs w:val="19"/>
              </w:rPr>
              <w:t>R0</w:t>
            </w:r>
            <w:r>
              <w:rPr>
                <w:rFonts w:ascii="宋体" w:hAnsi="宋体" w:eastAsia="宋体"/>
                <w:spacing w:val="-34"/>
                <w:w w:val="97"/>
                <w:sz w:val="19"/>
                <w:szCs w:val="19"/>
              </w:rPr>
              <w:t>（</w:t>
            </w:r>
            <w:r>
              <w:rPr>
                <w:rFonts w:ascii="宋体" w:hAnsi="宋体" w:eastAsia="宋体"/>
                <w:spacing w:val="-38"/>
                <w:sz w:val="19"/>
                <w:szCs w:val="19"/>
              </w:rPr>
              <w:t xml:space="preserve"> </w:t>
            </w:r>
            <w:r>
              <w:rPr>
                <w:rFonts w:ascii="宋体" w:hAnsi="宋体" w:eastAsia="宋体" w:cs="Times New Roman"/>
                <w:spacing w:val="-34"/>
                <w:w w:val="97"/>
                <w:sz w:val="19"/>
                <w:szCs w:val="19"/>
              </w:rPr>
              <w:t>1</w:t>
            </w:r>
            <w:r>
              <w:rPr>
                <w:rFonts w:ascii="宋体" w:hAnsi="宋体" w:eastAsia="宋体"/>
                <w:spacing w:val="-34"/>
                <w:w w:val="97"/>
                <w:sz w:val="19"/>
                <w:szCs w:val="19"/>
              </w:rPr>
              <w:t>、</w:t>
            </w:r>
            <w:r>
              <w:rPr>
                <w:rFonts w:ascii="宋体" w:hAnsi="宋体" w:eastAsia="宋体" w:cs="Times New Roman"/>
                <w:spacing w:val="-34"/>
                <w:w w:val="97"/>
                <w:sz w:val="19"/>
                <w:szCs w:val="19"/>
              </w:rPr>
              <w:t>2</w:t>
            </w:r>
            <w:r>
              <w:rPr>
                <w:rFonts w:ascii="宋体" w:hAnsi="宋体" w:eastAsia="宋体"/>
                <w:spacing w:val="-34"/>
                <w:w w:val="97"/>
                <w:sz w:val="19"/>
                <w:szCs w:val="19"/>
              </w:rPr>
              <w:t>、</w:t>
            </w:r>
            <w:r>
              <w:rPr>
                <w:rFonts w:ascii="宋体" w:hAnsi="宋体" w:eastAsia="宋体" w:cs="MS UI Gothic"/>
                <w:spacing w:val="-34"/>
                <w:w w:val="97"/>
                <w:sz w:val="19"/>
                <w:szCs w:val="19"/>
              </w:rPr>
              <w:t>…</w:t>
            </w:r>
            <w:r>
              <w:rPr>
                <w:rFonts w:ascii="宋体" w:hAnsi="宋体" w:eastAsia="宋体"/>
                <w:spacing w:val="-34"/>
                <w:w w:val="97"/>
                <w:sz w:val="19"/>
                <w:szCs w:val="19"/>
              </w:rPr>
              <w:t>）</w:t>
            </w:r>
          </w:p>
        </w:tc>
        <w:tc>
          <w:tcPr>
            <w:tcW w:w="2042" w:type="dxa"/>
          </w:tcPr>
          <w:p w14:paraId="3BD5B5C3">
            <w:pPr>
              <w:autoSpaceDE/>
              <w:autoSpaceDN/>
              <w:spacing w:before="36" w:after="160" w:line="192" w:lineRule="auto"/>
              <w:ind w:left="188" w:hanging="186" w:hangingChars="100"/>
              <w:rPr>
                <w:rFonts w:hint="eastAsia" w:cs="Times New Roman"/>
                <w:snapToGrid w:val="0"/>
                <w:color w:val="000000"/>
                <w:kern w:val="2"/>
                <w:sz w:val="19"/>
                <w:szCs w:val="19"/>
                <w:lang w:eastAsia="en-US"/>
              </w:rPr>
            </w:pPr>
            <w:r>
              <w:rPr>
                <w:rFonts w:cs="Times New Roman"/>
                <w:snapToGrid w:val="0"/>
                <w:color w:val="000000"/>
                <w:spacing w:val="-2"/>
                <w:kern w:val="2"/>
                <w:sz w:val="19"/>
                <w:szCs w:val="19"/>
                <w:lang w:eastAsia="en-US"/>
              </w:rPr>
              <w:t>XX</w:t>
            </w:r>
            <w:r>
              <w:rPr>
                <w:rFonts w:cs="Times New Roman"/>
                <w:snapToGrid w:val="0"/>
                <w:color w:val="000000"/>
                <w:kern w:val="2"/>
                <w:sz w:val="19"/>
                <w:szCs w:val="19"/>
                <w:lang w:eastAsia="en-US"/>
              </w:rPr>
              <w:t xml:space="preserve">               </w:t>
            </w:r>
            <w:r>
              <w:rPr>
                <w:rFonts w:cs="Times New Roman"/>
                <w:snapToGrid w:val="0"/>
                <w:color w:val="000000"/>
                <w:spacing w:val="-2"/>
                <w:kern w:val="2"/>
                <w:sz w:val="19"/>
                <w:szCs w:val="19"/>
                <w:lang w:eastAsia="en-US"/>
              </w:rPr>
              <w:t>-X</w:t>
            </w:r>
          </w:p>
        </w:tc>
      </w:tr>
      <w:tr w14:paraId="10642CE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012372F1">
            <w:pPr>
              <w:pStyle w:val="27"/>
              <w:spacing w:before="52" w:line="227" w:lineRule="auto"/>
              <w:ind w:left="197" w:right="209"/>
              <w:rPr>
                <w:rFonts w:hint="eastAsia" w:ascii="宋体" w:hAnsi="宋体" w:eastAsia="宋体"/>
                <w:sz w:val="19"/>
                <w:szCs w:val="19"/>
              </w:rPr>
            </w:pPr>
            <w:r>
              <w:rPr>
                <w:rFonts w:ascii="宋体" w:hAnsi="宋体" w:eastAsia="宋体"/>
                <w:spacing w:val="7"/>
                <w:sz w:val="19"/>
                <w:szCs w:val="19"/>
              </w:rPr>
              <w:t>认证机构</w:t>
            </w:r>
            <w:r>
              <w:rPr>
                <w:rFonts w:ascii="宋体" w:hAnsi="宋体" w:eastAsia="宋体"/>
                <w:spacing w:val="6"/>
                <w:sz w:val="19"/>
                <w:szCs w:val="19"/>
              </w:rPr>
              <w:t>代码</w:t>
            </w:r>
          </w:p>
        </w:tc>
        <w:tc>
          <w:tcPr>
            <w:tcW w:w="1429" w:type="dxa"/>
          </w:tcPr>
          <w:p w14:paraId="47FD4B83">
            <w:pPr>
              <w:pStyle w:val="27"/>
              <w:spacing w:before="239" w:line="226" w:lineRule="auto"/>
              <w:ind w:left="209"/>
              <w:rPr>
                <w:rFonts w:hint="eastAsia" w:ascii="宋体" w:hAnsi="宋体" w:eastAsia="宋体"/>
                <w:sz w:val="19"/>
                <w:szCs w:val="19"/>
              </w:rPr>
            </w:pPr>
            <w:r>
              <w:rPr>
                <w:rFonts w:ascii="宋体" w:hAnsi="宋体" w:eastAsia="宋体"/>
                <w:spacing w:val="8"/>
                <w:sz w:val="19"/>
                <w:szCs w:val="19"/>
              </w:rPr>
              <w:t>发证年份号</w:t>
            </w:r>
          </w:p>
        </w:tc>
        <w:tc>
          <w:tcPr>
            <w:tcW w:w="1345" w:type="dxa"/>
          </w:tcPr>
          <w:p w14:paraId="5B46B0C3">
            <w:pPr>
              <w:pStyle w:val="27"/>
              <w:spacing w:before="238" w:line="221" w:lineRule="auto"/>
              <w:ind w:firstLine="666" w:firstLineChars="300"/>
              <w:rPr>
                <w:rFonts w:hint="eastAsia" w:ascii="宋体" w:hAnsi="宋体" w:eastAsia="宋体"/>
                <w:sz w:val="19"/>
                <w:szCs w:val="19"/>
              </w:rPr>
            </w:pPr>
            <w:r>
              <w:rPr>
                <w:rFonts w:ascii="宋体" w:hAnsi="宋体" w:eastAsia="宋体"/>
                <w:spacing w:val="16"/>
                <w:sz w:val="19"/>
                <w:szCs w:val="19"/>
              </w:rPr>
              <w:t>简写</w:t>
            </w:r>
          </w:p>
        </w:tc>
        <w:tc>
          <w:tcPr>
            <w:tcW w:w="1176" w:type="dxa"/>
          </w:tcPr>
          <w:p w14:paraId="41F81BC8">
            <w:pPr>
              <w:pStyle w:val="27"/>
              <w:spacing w:before="239" w:line="226" w:lineRule="auto"/>
              <w:ind w:left="361"/>
              <w:rPr>
                <w:rFonts w:hint="eastAsia" w:ascii="宋体" w:hAnsi="宋体" w:eastAsia="宋体"/>
                <w:sz w:val="19"/>
                <w:szCs w:val="19"/>
              </w:rPr>
            </w:pPr>
            <w:r>
              <w:rPr>
                <w:rFonts w:ascii="宋体" w:hAnsi="宋体" w:eastAsia="宋体"/>
                <w:spacing w:val="6"/>
                <w:sz w:val="19"/>
                <w:szCs w:val="19"/>
              </w:rPr>
              <w:t>顺序号</w:t>
            </w:r>
          </w:p>
        </w:tc>
        <w:tc>
          <w:tcPr>
            <w:tcW w:w="1488" w:type="dxa"/>
          </w:tcPr>
          <w:p w14:paraId="664E938E">
            <w:pPr>
              <w:pStyle w:val="27"/>
              <w:spacing w:before="238" w:line="227" w:lineRule="auto"/>
              <w:ind w:left="360"/>
              <w:rPr>
                <w:rFonts w:hint="eastAsia" w:ascii="宋体" w:hAnsi="宋体" w:eastAsia="宋体"/>
                <w:sz w:val="19"/>
                <w:szCs w:val="19"/>
              </w:rPr>
            </w:pPr>
            <w:r>
              <w:rPr>
                <w:rFonts w:ascii="宋体" w:hAnsi="宋体" w:eastAsia="宋体"/>
                <w:spacing w:val="6"/>
                <w:sz w:val="19"/>
                <w:szCs w:val="19"/>
              </w:rPr>
              <w:t>认证周期</w:t>
            </w:r>
          </w:p>
        </w:tc>
        <w:tc>
          <w:tcPr>
            <w:tcW w:w="2042" w:type="dxa"/>
          </w:tcPr>
          <w:p w14:paraId="6F7FAEDC">
            <w:pPr>
              <w:pStyle w:val="27"/>
              <w:spacing w:before="239" w:line="226" w:lineRule="auto"/>
              <w:ind w:firstLine="244"/>
              <w:jc w:val="right"/>
              <w:rPr>
                <w:rFonts w:hint="eastAsia" w:ascii="宋体" w:hAnsi="宋体" w:eastAsia="宋体"/>
                <w:sz w:val="19"/>
                <w:szCs w:val="19"/>
                <w:lang w:eastAsia="zh-CN"/>
              </w:rPr>
            </w:pPr>
            <w:r>
              <w:rPr>
                <w:rFonts w:ascii="宋体" w:hAnsi="宋体" w:eastAsia="宋体"/>
                <w:spacing w:val="-28"/>
                <w:w w:val="94"/>
                <w:sz w:val="19"/>
                <w:szCs w:val="19"/>
                <w:lang w:eastAsia="zh-CN"/>
              </w:rPr>
              <w:t>认</w:t>
            </w:r>
            <w:r>
              <w:rPr>
                <w:rFonts w:ascii="宋体" w:hAnsi="宋体" w:eastAsia="宋体"/>
                <w:spacing w:val="-27"/>
                <w:w w:val="94"/>
                <w:sz w:val="19"/>
                <w:szCs w:val="19"/>
                <w:lang w:eastAsia="zh-CN"/>
              </w:rPr>
              <w:t>可机构代码</w:t>
            </w:r>
            <w:r>
              <w:rPr>
                <w:rFonts w:ascii="宋体" w:hAnsi="宋体" w:eastAsia="宋体"/>
                <w:spacing w:val="37"/>
                <w:sz w:val="19"/>
                <w:szCs w:val="19"/>
                <w:lang w:eastAsia="zh-CN"/>
              </w:rPr>
              <w:t xml:space="preserve">  </w:t>
            </w:r>
            <w:r>
              <w:rPr>
                <w:rFonts w:ascii="宋体" w:hAnsi="宋体" w:eastAsia="宋体"/>
                <w:spacing w:val="-27"/>
                <w:w w:val="94"/>
                <w:sz w:val="19"/>
                <w:szCs w:val="19"/>
                <w:lang w:eastAsia="zh-CN"/>
              </w:rPr>
              <w:t>子证书</w:t>
            </w:r>
            <w:r>
              <w:rPr>
                <w:rFonts w:ascii="宋体" w:hAnsi="宋体" w:eastAsia="宋体"/>
                <w:spacing w:val="-16"/>
                <w:w w:val="94"/>
                <w:sz w:val="19"/>
                <w:szCs w:val="19"/>
                <w:lang w:eastAsia="zh-CN"/>
              </w:rPr>
              <w:t>号</w:t>
            </w:r>
          </w:p>
        </w:tc>
      </w:tr>
    </w:tbl>
    <w:p w14:paraId="6E1C5570">
      <w:pPr>
        <w:spacing w:after="120" w:line="271" w:lineRule="auto"/>
        <w:ind w:firstLine="420"/>
        <w:rPr>
          <w:rFonts w:hint="eastAsia" w:cs="Times New Roman"/>
          <w:kern w:val="2"/>
        </w:rPr>
      </w:pPr>
      <w:r>
        <w:rPr>
          <w:rFonts w:cs="Times New Roman"/>
          <w:kern w:val="2"/>
        </w:rPr>
        <w:drawing>
          <wp:anchor distT="0" distB="0" distL="114300" distR="114300" simplePos="0" relativeHeight="251670528" behindDoc="0" locked="0" layoutInCell="1" allowOverlap="1">
            <wp:simplePos x="0" y="0"/>
            <wp:positionH relativeFrom="column">
              <wp:posOffset>379095</wp:posOffset>
            </wp:positionH>
            <wp:positionV relativeFrom="paragraph">
              <wp:posOffset>100330</wp:posOffset>
            </wp:positionV>
            <wp:extent cx="17780" cy="5292090"/>
            <wp:effectExtent l="0" t="0" r="12700" b="11430"/>
            <wp:wrapNone/>
            <wp:docPr id="26"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 4"/>
                    <pic:cNvPicPr>
                      <a:picLocks noChangeAspect="1"/>
                    </pic:cNvPicPr>
                  </pic:nvPicPr>
                  <pic:blipFill>
                    <a:blip r:embed="rId19"/>
                    <a:stretch>
                      <a:fillRect/>
                    </a:stretch>
                  </pic:blipFill>
                  <pic:spPr>
                    <a:xfrm>
                      <a:off x="0" y="0"/>
                      <a:ext cx="17780" cy="5292090"/>
                    </a:xfrm>
                    <a:prstGeom prst="rect">
                      <a:avLst/>
                    </a:prstGeom>
                    <a:noFill/>
                    <a:ln>
                      <a:noFill/>
                    </a:ln>
                  </pic:spPr>
                </pic:pic>
              </a:graphicData>
            </a:graphic>
          </wp:anchor>
        </w:drawing>
      </w:r>
      <w:r>
        <w:rPr>
          <w:rFonts w:cs="Times New Roman"/>
          <w:kern w:val="2"/>
        </w:rPr>
        <w:drawing>
          <wp:anchor distT="0" distB="0" distL="114300" distR="114300" simplePos="0" relativeHeight="251667456" behindDoc="0" locked="0" layoutInCell="1" allowOverlap="1">
            <wp:simplePos x="0" y="0"/>
            <wp:positionH relativeFrom="column">
              <wp:posOffset>1240790</wp:posOffset>
            </wp:positionH>
            <wp:positionV relativeFrom="paragraph">
              <wp:posOffset>100965</wp:posOffset>
            </wp:positionV>
            <wp:extent cx="53340" cy="5003800"/>
            <wp:effectExtent l="0" t="0" r="7620" b="10160"/>
            <wp:wrapNone/>
            <wp:docPr id="23" name="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 8"/>
                    <pic:cNvPicPr>
                      <a:picLocks noChangeAspect="1"/>
                    </pic:cNvPicPr>
                  </pic:nvPicPr>
                  <pic:blipFill>
                    <a:blip r:embed="rId20"/>
                    <a:stretch>
                      <a:fillRect/>
                    </a:stretch>
                  </pic:blipFill>
                  <pic:spPr>
                    <a:xfrm>
                      <a:off x="0" y="0"/>
                      <a:ext cx="53340" cy="5003800"/>
                    </a:xfrm>
                    <a:prstGeom prst="rect">
                      <a:avLst/>
                    </a:prstGeom>
                    <a:noFill/>
                    <a:ln>
                      <a:noFill/>
                    </a:ln>
                  </pic:spPr>
                </pic:pic>
              </a:graphicData>
            </a:graphic>
          </wp:anchor>
        </w:drawing>
      </w:r>
      <w:r>
        <w:rPr>
          <w:rFonts w:cs="Times New Roman"/>
          <w:kern w:val="2"/>
        </w:rPr>
        <w:drawing>
          <wp:anchor distT="0" distB="0" distL="114300" distR="114300" simplePos="0" relativeHeight="251669504" behindDoc="0" locked="0" layoutInCell="1" allowOverlap="1">
            <wp:simplePos x="0" y="0"/>
            <wp:positionH relativeFrom="column">
              <wp:posOffset>2155190</wp:posOffset>
            </wp:positionH>
            <wp:positionV relativeFrom="paragraph">
              <wp:posOffset>104775</wp:posOffset>
            </wp:positionV>
            <wp:extent cx="20320" cy="4751705"/>
            <wp:effectExtent l="0" t="0" r="10160" b="3175"/>
            <wp:wrapNone/>
            <wp:docPr id="21" name="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 10"/>
                    <pic:cNvPicPr>
                      <a:picLocks noChangeAspect="1"/>
                    </pic:cNvPicPr>
                  </pic:nvPicPr>
                  <pic:blipFill>
                    <a:blip r:embed="rId21"/>
                    <a:stretch>
                      <a:fillRect/>
                    </a:stretch>
                  </pic:blipFill>
                  <pic:spPr>
                    <a:xfrm>
                      <a:off x="0" y="0"/>
                      <a:ext cx="20320" cy="4751705"/>
                    </a:xfrm>
                    <a:prstGeom prst="rect">
                      <a:avLst/>
                    </a:prstGeom>
                    <a:noFill/>
                    <a:ln>
                      <a:noFill/>
                    </a:ln>
                  </pic:spPr>
                </pic:pic>
              </a:graphicData>
            </a:graphic>
          </wp:anchor>
        </w:drawing>
      </w:r>
      <w:r>
        <w:rPr>
          <w:rFonts w:cs="Times New Roman"/>
          <w:kern w:val="2"/>
        </w:rPr>
        <w:drawing>
          <wp:anchor distT="0" distB="0" distL="114300" distR="114300" simplePos="0" relativeHeight="251668480" behindDoc="0" locked="0" layoutInCell="1" allowOverlap="1">
            <wp:simplePos x="0" y="0"/>
            <wp:positionH relativeFrom="column">
              <wp:posOffset>2920365</wp:posOffset>
            </wp:positionH>
            <wp:positionV relativeFrom="paragraph">
              <wp:posOffset>151765</wp:posOffset>
            </wp:positionV>
            <wp:extent cx="25400" cy="4175760"/>
            <wp:effectExtent l="0" t="0" r="5080" b="0"/>
            <wp:wrapNone/>
            <wp:docPr id="24" name="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 12"/>
                    <pic:cNvPicPr>
                      <a:picLocks noChangeAspect="1"/>
                    </pic:cNvPicPr>
                  </pic:nvPicPr>
                  <pic:blipFill>
                    <a:blip r:embed="rId22"/>
                    <a:stretch>
                      <a:fillRect/>
                    </a:stretch>
                  </pic:blipFill>
                  <pic:spPr>
                    <a:xfrm>
                      <a:off x="0" y="0"/>
                      <a:ext cx="25400" cy="4175760"/>
                    </a:xfrm>
                    <a:prstGeom prst="rect">
                      <a:avLst/>
                    </a:prstGeom>
                    <a:noFill/>
                    <a:ln>
                      <a:noFill/>
                    </a:ln>
                  </pic:spPr>
                </pic:pic>
              </a:graphicData>
            </a:graphic>
          </wp:anchor>
        </w:drawing>
      </w:r>
      <w:r>
        <w:rPr>
          <w:rFonts w:cs="Times New Roman"/>
          <w:kern w:val="2"/>
        </w:rPr>
        <w:drawing>
          <wp:anchor distT="0" distB="0" distL="114300" distR="114300" simplePos="0" relativeHeight="251671552" behindDoc="0" locked="0" layoutInCell="1" allowOverlap="1">
            <wp:simplePos x="0" y="0"/>
            <wp:positionH relativeFrom="column">
              <wp:posOffset>3792855</wp:posOffset>
            </wp:positionH>
            <wp:positionV relativeFrom="paragraph">
              <wp:posOffset>114300</wp:posOffset>
            </wp:positionV>
            <wp:extent cx="10160" cy="3599815"/>
            <wp:effectExtent l="0" t="0" r="5080" b="12065"/>
            <wp:wrapNone/>
            <wp:docPr id="22" name="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 6"/>
                    <pic:cNvPicPr>
                      <a:picLocks noChangeAspect="1"/>
                    </pic:cNvPicPr>
                  </pic:nvPicPr>
                  <pic:blipFill>
                    <a:blip r:embed="rId23"/>
                    <a:stretch>
                      <a:fillRect/>
                    </a:stretch>
                  </pic:blipFill>
                  <pic:spPr>
                    <a:xfrm>
                      <a:off x="0" y="0"/>
                      <a:ext cx="10160" cy="3599815"/>
                    </a:xfrm>
                    <a:prstGeom prst="rect">
                      <a:avLst/>
                    </a:prstGeom>
                    <a:noFill/>
                    <a:ln>
                      <a:noFill/>
                    </a:ln>
                  </pic:spPr>
                </pic:pic>
              </a:graphicData>
            </a:graphic>
          </wp:anchor>
        </w:drawing>
      </w:r>
      <w:r>
        <w:rPr>
          <w:rFonts w:cs="Times New Roman"/>
          <w:kern w:val="2"/>
        </w:rPr>
        <w:drawing>
          <wp:anchor distT="0" distB="0" distL="114300" distR="114300" simplePos="0" relativeHeight="251672576" behindDoc="0" locked="0" layoutInCell="1" allowOverlap="1">
            <wp:simplePos x="0" y="0"/>
            <wp:positionH relativeFrom="column">
              <wp:posOffset>4684395</wp:posOffset>
            </wp:positionH>
            <wp:positionV relativeFrom="paragraph">
              <wp:posOffset>123825</wp:posOffset>
            </wp:positionV>
            <wp:extent cx="13970" cy="2339975"/>
            <wp:effectExtent l="0" t="0" r="1270" b="6985"/>
            <wp:wrapNone/>
            <wp:docPr id="25" name="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 14"/>
                    <pic:cNvPicPr>
                      <a:picLocks noChangeAspect="1"/>
                    </pic:cNvPicPr>
                  </pic:nvPicPr>
                  <pic:blipFill>
                    <a:blip r:embed="rId24"/>
                    <a:stretch>
                      <a:fillRect/>
                    </a:stretch>
                  </pic:blipFill>
                  <pic:spPr>
                    <a:xfrm>
                      <a:off x="0" y="0"/>
                      <a:ext cx="13970" cy="2339975"/>
                    </a:xfrm>
                    <a:prstGeom prst="rect">
                      <a:avLst/>
                    </a:prstGeom>
                    <a:noFill/>
                    <a:ln>
                      <a:noFill/>
                    </a:ln>
                  </pic:spPr>
                </pic:pic>
              </a:graphicData>
            </a:graphic>
          </wp:anchor>
        </w:drawing>
      </w:r>
    </w:p>
    <w:p w14:paraId="5006A59E">
      <w:pPr>
        <w:spacing w:after="120" w:line="271" w:lineRule="auto"/>
        <w:ind w:firstLine="420"/>
        <w:rPr>
          <w:rFonts w:hint="eastAsia" w:cs="Times New Roman"/>
          <w:kern w:val="2"/>
        </w:rPr>
      </w:pPr>
    </w:p>
    <w:p w14:paraId="2A0C8906">
      <w:pPr>
        <w:spacing w:after="120" w:line="271" w:lineRule="auto"/>
        <w:ind w:firstLine="420"/>
        <w:rPr>
          <w:rFonts w:hint="eastAsia" w:cs="Times New Roman"/>
          <w:kern w:val="2"/>
        </w:rPr>
      </w:pPr>
    </w:p>
    <w:p w14:paraId="0454D5B0">
      <w:pPr>
        <w:autoSpaceDE/>
        <w:autoSpaceDN/>
        <w:spacing w:before="65" w:line="289" w:lineRule="auto"/>
        <w:ind w:left="7697" w:firstLine="0" w:firstLineChars="0"/>
        <w:rPr>
          <w:rFonts w:cs="仿宋"/>
          <w:spacing w:val="5"/>
          <w:kern w:val="2"/>
          <w:sz w:val="20"/>
          <w:szCs w:val="20"/>
        </w:rPr>
      </w:pPr>
    </w:p>
    <w:p w14:paraId="39334A37">
      <w:pPr>
        <w:autoSpaceDE/>
        <w:autoSpaceDN/>
        <w:spacing w:before="65" w:line="289" w:lineRule="auto"/>
        <w:ind w:left="7697" w:firstLine="0" w:firstLineChars="0"/>
        <w:rPr>
          <w:rFonts w:cs="仿宋"/>
          <w:spacing w:val="5"/>
          <w:kern w:val="2"/>
          <w:sz w:val="20"/>
          <w:szCs w:val="20"/>
        </w:rPr>
      </w:pPr>
    </w:p>
    <w:p w14:paraId="5C53CD08">
      <w:pPr>
        <w:autoSpaceDE/>
        <w:autoSpaceDN/>
        <w:spacing w:before="65" w:line="289" w:lineRule="auto"/>
        <w:ind w:firstLine="0" w:firstLineChars="0"/>
        <w:rPr>
          <w:rFonts w:hint="eastAsia" w:cs="仿宋"/>
          <w:spacing w:val="5"/>
          <w:kern w:val="2"/>
          <w:sz w:val="20"/>
          <w:szCs w:val="20"/>
        </w:rPr>
      </w:pPr>
    </w:p>
    <w:p w14:paraId="3DF170DD">
      <w:pPr>
        <w:autoSpaceDE/>
        <w:autoSpaceDN/>
        <w:spacing w:before="65" w:line="289" w:lineRule="auto"/>
        <w:ind w:left="7697" w:firstLine="0" w:firstLineChars="0"/>
        <w:rPr>
          <w:rFonts w:hint="eastAsia" w:cs="仿宋"/>
          <w:kern w:val="2"/>
          <w:sz w:val="20"/>
          <w:szCs w:val="20"/>
        </w:rPr>
      </w:pPr>
      <w:r>
        <w:rPr>
          <w:rFonts w:cs="仿宋"/>
          <w:spacing w:val="5"/>
          <w:kern w:val="2"/>
          <w:sz w:val="20"/>
          <w:szCs w:val="20"/>
        </w:rPr>
        <w:t>多场所组织</w:t>
      </w:r>
      <w:r>
        <w:rPr>
          <w:rFonts w:cs="仿宋"/>
          <w:spacing w:val="9"/>
          <w:kern w:val="2"/>
          <w:sz w:val="20"/>
          <w:szCs w:val="20"/>
        </w:rPr>
        <w:t>的子证书编号应与主证书的编号相关，在主证书编号后</w:t>
      </w:r>
      <w:r>
        <w:rPr>
          <w:rFonts w:cs="仿宋"/>
          <w:spacing w:val="-8"/>
          <w:kern w:val="2"/>
          <w:sz w:val="20"/>
          <w:szCs w:val="20"/>
        </w:rPr>
        <w:t>加</w:t>
      </w:r>
      <w:r>
        <w:rPr>
          <w:rFonts w:cs="仿宋"/>
          <w:spacing w:val="-21"/>
          <w:kern w:val="2"/>
          <w:sz w:val="20"/>
          <w:szCs w:val="20"/>
        </w:rPr>
        <w:t xml:space="preserve"> </w:t>
      </w:r>
      <w:r>
        <w:rPr>
          <w:rFonts w:cs="仿宋"/>
          <w:spacing w:val="-8"/>
          <w:kern w:val="2"/>
          <w:sz w:val="20"/>
          <w:szCs w:val="20"/>
        </w:rPr>
        <w:t>子</w:t>
      </w:r>
      <w:r>
        <w:rPr>
          <w:rFonts w:cs="仿宋"/>
          <w:spacing w:val="-31"/>
          <w:kern w:val="2"/>
          <w:sz w:val="20"/>
          <w:szCs w:val="20"/>
        </w:rPr>
        <w:t xml:space="preserve"> </w:t>
      </w:r>
      <w:r>
        <w:rPr>
          <w:rFonts w:cs="仿宋"/>
          <w:spacing w:val="-8"/>
          <w:kern w:val="2"/>
          <w:sz w:val="20"/>
          <w:szCs w:val="20"/>
        </w:rPr>
        <w:t>证</w:t>
      </w:r>
      <w:r>
        <w:rPr>
          <w:rFonts w:cs="仿宋"/>
          <w:spacing w:val="-22"/>
          <w:kern w:val="2"/>
          <w:sz w:val="20"/>
          <w:szCs w:val="20"/>
        </w:rPr>
        <w:t xml:space="preserve"> </w:t>
      </w:r>
      <w:r>
        <w:rPr>
          <w:rFonts w:cs="仿宋"/>
          <w:spacing w:val="-8"/>
          <w:kern w:val="2"/>
          <w:sz w:val="20"/>
          <w:szCs w:val="20"/>
        </w:rPr>
        <w:t>书</w:t>
      </w:r>
      <w:r>
        <w:rPr>
          <w:rFonts w:cs="仿宋"/>
          <w:spacing w:val="-31"/>
          <w:kern w:val="2"/>
          <w:sz w:val="20"/>
          <w:szCs w:val="20"/>
        </w:rPr>
        <w:t xml:space="preserve"> </w:t>
      </w:r>
      <w:r>
        <w:rPr>
          <w:rFonts w:cs="仿宋"/>
          <w:spacing w:val="-8"/>
          <w:kern w:val="2"/>
          <w:sz w:val="20"/>
          <w:szCs w:val="20"/>
        </w:rPr>
        <w:t>序</w:t>
      </w:r>
      <w:r>
        <w:rPr>
          <w:rFonts w:cs="仿宋"/>
          <w:spacing w:val="-10"/>
          <w:kern w:val="2"/>
          <w:sz w:val="20"/>
          <w:szCs w:val="20"/>
        </w:rPr>
        <w:t>号</w:t>
      </w:r>
      <w:r>
        <w:rPr>
          <w:rFonts w:cs="仿宋"/>
          <w:spacing w:val="86"/>
          <w:kern w:val="2"/>
          <w:sz w:val="20"/>
          <w:szCs w:val="20"/>
        </w:rPr>
        <w:t xml:space="preserve"> </w:t>
      </w:r>
      <w:r>
        <w:rPr>
          <w:rFonts w:cs="仿宋"/>
          <w:spacing w:val="-10"/>
          <w:kern w:val="2"/>
          <w:sz w:val="20"/>
          <w:szCs w:val="20"/>
        </w:rPr>
        <w:t>：</w:t>
      </w:r>
      <w:r>
        <w:rPr>
          <w:rFonts w:cs="仿宋"/>
          <w:spacing w:val="69"/>
          <w:kern w:val="2"/>
          <w:sz w:val="20"/>
          <w:szCs w:val="20"/>
        </w:rPr>
        <w:t xml:space="preserve"> </w:t>
      </w:r>
      <w:r>
        <w:rPr>
          <w:rFonts w:cs="Times New Roman"/>
          <w:spacing w:val="-10"/>
          <w:kern w:val="2"/>
          <w:sz w:val="20"/>
          <w:szCs w:val="20"/>
        </w:rPr>
        <w:t>-1</w:t>
      </w:r>
      <w:r>
        <w:rPr>
          <w:rFonts w:cs="Times New Roman"/>
          <w:spacing w:val="11"/>
          <w:kern w:val="2"/>
          <w:sz w:val="20"/>
          <w:szCs w:val="20"/>
        </w:rPr>
        <w:t xml:space="preserve">   </w:t>
      </w:r>
      <w:r>
        <w:rPr>
          <w:rFonts w:cs="仿宋"/>
          <w:spacing w:val="-10"/>
          <w:kern w:val="2"/>
          <w:sz w:val="20"/>
          <w:szCs w:val="20"/>
        </w:rPr>
        <w:t>，</w:t>
      </w:r>
      <w:r>
        <w:rPr>
          <w:rFonts w:cs="仿宋"/>
          <w:kern w:val="2"/>
          <w:sz w:val="20"/>
          <w:szCs w:val="20"/>
        </w:rPr>
        <w:t xml:space="preserve"> </w:t>
      </w:r>
      <w:r>
        <w:rPr>
          <w:rFonts w:cs="Times New Roman"/>
          <w:spacing w:val="-7"/>
          <w:kern w:val="2"/>
          <w:sz w:val="20"/>
          <w:szCs w:val="20"/>
        </w:rPr>
        <w:t>-2</w:t>
      </w:r>
      <w:r>
        <w:rPr>
          <w:rFonts w:cs="Times New Roman"/>
          <w:spacing w:val="-20"/>
          <w:kern w:val="2"/>
          <w:sz w:val="20"/>
          <w:szCs w:val="20"/>
        </w:rPr>
        <w:t xml:space="preserve"> </w:t>
      </w:r>
      <w:r>
        <w:rPr>
          <w:rFonts w:cs="仿宋"/>
          <w:spacing w:val="-7"/>
          <w:kern w:val="2"/>
          <w:sz w:val="20"/>
          <w:szCs w:val="20"/>
        </w:rPr>
        <w:t>，</w:t>
      </w:r>
      <w:r>
        <w:rPr>
          <w:rFonts w:cs="仿宋"/>
          <w:spacing w:val="-70"/>
          <w:kern w:val="2"/>
          <w:sz w:val="20"/>
          <w:szCs w:val="20"/>
        </w:rPr>
        <w:t xml:space="preserve"> </w:t>
      </w:r>
      <w:r>
        <w:rPr>
          <w:rFonts w:cs="仿宋"/>
          <w:spacing w:val="-7"/>
          <w:kern w:val="2"/>
          <w:sz w:val="20"/>
          <w:szCs w:val="20"/>
        </w:rPr>
        <w:t>……</w:t>
      </w:r>
    </w:p>
    <w:p w14:paraId="7283A546">
      <w:pPr>
        <w:autoSpaceDE/>
        <w:autoSpaceDN/>
        <w:spacing w:before="233" w:line="288" w:lineRule="auto"/>
        <w:ind w:left="7483" w:right="132" w:firstLine="0" w:firstLineChars="0"/>
        <w:rPr>
          <w:rFonts w:hint="eastAsia" w:cs="仿宋"/>
          <w:kern w:val="2"/>
          <w:sz w:val="20"/>
          <w:szCs w:val="20"/>
        </w:rPr>
      </w:pPr>
      <w:r>
        <w:rPr>
          <w:rFonts w:cs="仿宋"/>
          <w:spacing w:val="27"/>
          <w:kern w:val="2"/>
          <w:sz w:val="20"/>
          <w:szCs w:val="20"/>
        </w:rPr>
        <w:t>通过认可的填写认</w:t>
      </w:r>
      <w:r>
        <w:rPr>
          <w:rFonts w:cs="仿宋"/>
          <w:spacing w:val="3"/>
          <w:kern w:val="2"/>
          <w:sz w:val="20"/>
          <w:szCs w:val="20"/>
        </w:rPr>
        <w:t>可机构代码，未通过认可</w:t>
      </w:r>
      <w:r>
        <w:rPr>
          <w:rFonts w:cs="仿宋"/>
          <w:spacing w:val="-5"/>
          <w:kern w:val="2"/>
          <w:sz w:val="20"/>
          <w:szCs w:val="20"/>
        </w:rPr>
        <w:t>代码为“</w:t>
      </w:r>
      <w:r>
        <w:rPr>
          <w:rFonts w:cs="Times New Roman"/>
          <w:spacing w:val="-5"/>
          <w:kern w:val="2"/>
          <w:sz w:val="20"/>
          <w:szCs w:val="20"/>
        </w:rPr>
        <w:t>00</w:t>
      </w:r>
      <w:r>
        <w:rPr>
          <w:rFonts w:cs="仿宋"/>
          <w:spacing w:val="-5"/>
          <w:kern w:val="2"/>
          <w:sz w:val="20"/>
          <w:szCs w:val="20"/>
        </w:rPr>
        <w:t>”。</w:t>
      </w:r>
    </w:p>
    <w:p w14:paraId="3F686A36">
      <w:pPr>
        <w:spacing w:after="120" w:line="447" w:lineRule="auto"/>
        <w:ind w:firstLine="420"/>
        <w:rPr>
          <w:rFonts w:hint="eastAsia" w:cs="Times New Roman"/>
          <w:kern w:val="2"/>
        </w:rPr>
      </w:pPr>
    </w:p>
    <w:p w14:paraId="23BF7628">
      <w:pPr>
        <w:autoSpaceDE/>
        <w:autoSpaceDN/>
        <w:spacing w:before="66" w:line="288" w:lineRule="auto"/>
        <w:ind w:left="6293" w:right="322" w:firstLine="0" w:firstLineChars="0"/>
        <w:rPr>
          <w:rFonts w:hint="eastAsia" w:cs="仿宋"/>
          <w:kern w:val="2"/>
          <w:sz w:val="20"/>
          <w:szCs w:val="20"/>
        </w:rPr>
      </w:pPr>
      <w:r>
        <w:rPr>
          <w:rFonts w:cs="仿宋"/>
          <w:spacing w:val="-6"/>
          <w:kern w:val="2"/>
          <w:sz w:val="20"/>
          <w:szCs w:val="20"/>
        </w:rPr>
        <w:t>后缀表示初次认证或再认证换证号：</w:t>
      </w:r>
      <w:r>
        <w:rPr>
          <w:rFonts w:cs="仿宋"/>
          <w:spacing w:val="7"/>
          <w:kern w:val="2"/>
          <w:sz w:val="20"/>
          <w:szCs w:val="20"/>
        </w:rPr>
        <w:t>初次认证为</w:t>
      </w:r>
      <w:r>
        <w:rPr>
          <w:rFonts w:cs="仿宋"/>
          <w:spacing w:val="-36"/>
          <w:kern w:val="2"/>
          <w:sz w:val="20"/>
          <w:szCs w:val="20"/>
        </w:rPr>
        <w:t xml:space="preserve"> </w:t>
      </w:r>
      <w:r>
        <w:rPr>
          <w:rFonts w:cs="Times New Roman"/>
          <w:spacing w:val="7"/>
          <w:kern w:val="2"/>
          <w:sz w:val="20"/>
          <w:szCs w:val="20"/>
        </w:rPr>
        <w:t>R0</w:t>
      </w:r>
      <w:r>
        <w:rPr>
          <w:rFonts w:cs="Times New Roman"/>
          <w:spacing w:val="-8"/>
          <w:kern w:val="2"/>
          <w:sz w:val="20"/>
          <w:szCs w:val="20"/>
        </w:rPr>
        <w:t xml:space="preserve"> </w:t>
      </w:r>
      <w:r>
        <w:rPr>
          <w:rFonts w:cs="仿宋"/>
          <w:spacing w:val="7"/>
          <w:kern w:val="2"/>
          <w:sz w:val="20"/>
          <w:szCs w:val="20"/>
        </w:rPr>
        <w:t>，</w:t>
      </w:r>
      <w:r>
        <w:rPr>
          <w:rFonts w:cs="仿宋"/>
          <w:spacing w:val="-59"/>
          <w:kern w:val="2"/>
          <w:sz w:val="20"/>
          <w:szCs w:val="20"/>
        </w:rPr>
        <w:t xml:space="preserve"> </w:t>
      </w:r>
      <w:r>
        <w:rPr>
          <w:rFonts w:cs="仿宋"/>
          <w:spacing w:val="7"/>
          <w:kern w:val="2"/>
          <w:sz w:val="20"/>
          <w:szCs w:val="20"/>
        </w:rPr>
        <w:t>第一次再认证换证为</w:t>
      </w:r>
      <w:r>
        <w:rPr>
          <w:rFonts w:cs="Times New Roman"/>
          <w:spacing w:val="3"/>
          <w:kern w:val="2"/>
          <w:sz w:val="20"/>
          <w:szCs w:val="20"/>
        </w:rPr>
        <w:t>R1</w:t>
      </w:r>
      <w:r>
        <w:rPr>
          <w:rFonts w:cs="Times New Roman"/>
          <w:spacing w:val="-20"/>
          <w:kern w:val="2"/>
          <w:sz w:val="20"/>
          <w:szCs w:val="20"/>
        </w:rPr>
        <w:t xml:space="preserve"> </w:t>
      </w:r>
      <w:r>
        <w:rPr>
          <w:rFonts w:cs="仿宋"/>
          <w:spacing w:val="3"/>
          <w:kern w:val="2"/>
          <w:sz w:val="20"/>
          <w:szCs w:val="20"/>
        </w:rPr>
        <w:t>，第二次再认证换证为</w:t>
      </w:r>
      <w:r>
        <w:rPr>
          <w:rFonts w:cs="仿宋"/>
          <w:spacing w:val="-44"/>
          <w:kern w:val="2"/>
          <w:sz w:val="20"/>
          <w:szCs w:val="20"/>
        </w:rPr>
        <w:t xml:space="preserve"> </w:t>
      </w:r>
      <w:r>
        <w:rPr>
          <w:rFonts w:cs="Times New Roman"/>
          <w:spacing w:val="3"/>
          <w:kern w:val="2"/>
          <w:sz w:val="20"/>
          <w:szCs w:val="20"/>
        </w:rPr>
        <w:t>R2</w:t>
      </w:r>
      <w:r>
        <w:rPr>
          <w:rFonts w:cs="Times New Roman"/>
          <w:spacing w:val="-18"/>
          <w:kern w:val="2"/>
          <w:sz w:val="20"/>
          <w:szCs w:val="20"/>
        </w:rPr>
        <w:t xml:space="preserve"> </w:t>
      </w:r>
      <w:r>
        <w:rPr>
          <w:rFonts w:cs="仿宋"/>
          <w:spacing w:val="3"/>
          <w:kern w:val="2"/>
          <w:sz w:val="20"/>
          <w:szCs w:val="20"/>
        </w:rPr>
        <w:t>，</w:t>
      </w:r>
      <w:r>
        <w:rPr>
          <w:rFonts w:cs="仿宋"/>
          <w:spacing w:val="-72"/>
          <w:kern w:val="2"/>
          <w:sz w:val="20"/>
          <w:szCs w:val="20"/>
        </w:rPr>
        <w:t xml:space="preserve"> </w:t>
      </w:r>
      <w:r>
        <w:rPr>
          <w:rFonts w:cs="仿宋"/>
          <w:spacing w:val="3"/>
          <w:kern w:val="2"/>
          <w:sz w:val="20"/>
          <w:szCs w:val="20"/>
        </w:rPr>
        <w:t>……</w:t>
      </w:r>
    </w:p>
    <w:p w14:paraId="03249C86">
      <w:pPr>
        <w:autoSpaceDE/>
        <w:autoSpaceDN/>
        <w:spacing w:before="131" w:line="285" w:lineRule="auto"/>
        <w:ind w:left="4725" w:leftChars="2250" w:right="175" w:firstLine="0" w:firstLineChars="0"/>
        <w:rPr>
          <w:rFonts w:hint="eastAsia" w:cs="仿宋"/>
          <w:kern w:val="2"/>
          <w:sz w:val="20"/>
          <w:szCs w:val="20"/>
        </w:rPr>
      </w:pPr>
      <w:r>
        <w:rPr>
          <w:rFonts w:cs="仿宋"/>
          <w:spacing w:val="12"/>
          <w:kern w:val="2"/>
          <w:sz w:val="20"/>
          <w:szCs w:val="20"/>
        </w:rPr>
        <w:t>一个认证机构当年发出</w:t>
      </w:r>
      <w:r>
        <w:rPr>
          <w:rFonts w:hint="eastAsia" w:cs="Times New Roman"/>
          <w:kern w:val="2"/>
          <w:sz w:val="19"/>
          <w:szCs w:val="19"/>
        </w:rPr>
        <w:t>CXMS</w:t>
      </w:r>
      <w:r>
        <w:rPr>
          <w:rFonts w:cs="仿宋"/>
          <w:spacing w:val="12"/>
          <w:kern w:val="2"/>
          <w:sz w:val="20"/>
          <w:szCs w:val="20"/>
        </w:rPr>
        <w:t>认证证书的顺序累</w:t>
      </w:r>
      <w:r>
        <w:rPr>
          <w:rFonts w:cs="仿宋"/>
          <w:kern w:val="2"/>
          <w:sz w:val="20"/>
          <w:szCs w:val="20"/>
        </w:rPr>
        <w:t>计号：</w:t>
      </w:r>
      <w:r>
        <w:rPr>
          <w:rFonts w:hint="eastAsia" w:cs="仿宋"/>
          <w:kern w:val="2"/>
          <w:sz w:val="20"/>
          <w:szCs w:val="20"/>
        </w:rPr>
        <w:t xml:space="preserve"> </w:t>
      </w:r>
      <w:r>
        <w:rPr>
          <w:rFonts w:cs="Times New Roman"/>
          <w:kern w:val="2"/>
          <w:sz w:val="20"/>
          <w:szCs w:val="20"/>
        </w:rPr>
        <w:t>00001</w:t>
      </w:r>
      <w:r>
        <w:rPr>
          <w:rFonts w:cs="Times New Roman"/>
          <w:spacing w:val="-8"/>
          <w:kern w:val="2"/>
          <w:sz w:val="20"/>
          <w:szCs w:val="20"/>
        </w:rPr>
        <w:t xml:space="preserve"> </w:t>
      </w:r>
      <w:r>
        <w:rPr>
          <w:rFonts w:cs="仿宋"/>
          <w:kern w:val="2"/>
          <w:sz w:val="20"/>
          <w:szCs w:val="20"/>
        </w:rPr>
        <w:t>，</w:t>
      </w:r>
      <w:r>
        <w:rPr>
          <w:rFonts w:cs="Times New Roman"/>
          <w:kern w:val="2"/>
          <w:sz w:val="20"/>
          <w:szCs w:val="20"/>
        </w:rPr>
        <w:t>00002</w:t>
      </w:r>
      <w:r>
        <w:rPr>
          <w:rFonts w:cs="Times New Roman"/>
          <w:spacing w:val="-20"/>
          <w:kern w:val="2"/>
          <w:sz w:val="20"/>
          <w:szCs w:val="20"/>
        </w:rPr>
        <w:t xml:space="preserve"> </w:t>
      </w:r>
      <w:r>
        <w:rPr>
          <w:rFonts w:cs="仿宋"/>
          <w:kern w:val="2"/>
          <w:sz w:val="20"/>
          <w:szCs w:val="20"/>
        </w:rPr>
        <w:t>，</w:t>
      </w:r>
      <w:r>
        <w:rPr>
          <w:rFonts w:cs="仿宋"/>
          <w:spacing w:val="-69"/>
          <w:kern w:val="2"/>
          <w:sz w:val="20"/>
          <w:szCs w:val="20"/>
        </w:rPr>
        <w:t xml:space="preserve"> </w:t>
      </w:r>
      <w:r>
        <w:rPr>
          <w:rFonts w:cs="仿宋"/>
          <w:kern w:val="2"/>
          <w:sz w:val="20"/>
          <w:szCs w:val="20"/>
        </w:rPr>
        <w:t>……</w:t>
      </w:r>
    </w:p>
    <w:p w14:paraId="2E9578CD">
      <w:pPr>
        <w:autoSpaceDE/>
        <w:autoSpaceDN/>
        <w:spacing w:before="141" w:line="221" w:lineRule="auto"/>
        <w:ind w:firstLine="3623" w:firstLineChars="1693"/>
        <w:rPr>
          <w:rFonts w:hint="eastAsia" w:cs="仿宋"/>
          <w:kern w:val="2"/>
          <w:sz w:val="20"/>
          <w:szCs w:val="20"/>
        </w:rPr>
      </w:pPr>
      <w:r>
        <w:rPr>
          <w:rFonts w:cs="仿宋"/>
          <w:spacing w:val="7"/>
          <w:kern w:val="2"/>
          <w:sz w:val="20"/>
          <w:szCs w:val="20"/>
        </w:rPr>
        <w:t>认证证书所属领域代号：</w:t>
      </w:r>
      <w:r>
        <w:rPr>
          <w:rFonts w:hint="eastAsia" w:cs="Times New Roman"/>
          <w:kern w:val="2"/>
          <w:sz w:val="19"/>
          <w:szCs w:val="19"/>
        </w:rPr>
        <w:t>CX 为CXMS</w:t>
      </w:r>
      <w:r>
        <w:rPr>
          <w:rFonts w:hint="eastAsia"/>
          <w:kern w:val="2"/>
          <w:sz w:val="19"/>
          <w:szCs w:val="19"/>
        </w:rPr>
        <w:t>的简称</w:t>
      </w:r>
      <w:r>
        <w:rPr>
          <w:rFonts w:cs="仿宋"/>
          <w:spacing w:val="7"/>
          <w:kern w:val="2"/>
          <w:sz w:val="20"/>
          <w:szCs w:val="20"/>
        </w:rPr>
        <w:t>。</w:t>
      </w:r>
    </w:p>
    <w:p w14:paraId="37482C30">
      <w:pPr>
        <w:autoSpaceDE/>
        <w:autoSpaceDN/>
        <w:spacing w:before="199" w:line="231" w:lineRule="auto"/>
        <w:ind w:firstLine="2053" w:firstLineChars="997"/>
        <w:rPr>
          <w:rFonts w:hint="eastAsia" w:cs="仿宋"/>
          <w:kern w:val="2"/>
          <w:sz w:val="20"/>
          <w:szCs w:val="20"/>
        </w:rPr>
      </w:pPr>
      <w:r>
        <w:rPr>
          <w:rFonts w:cs="仿宋"/>
          <w:spacing w:val="3"/>
          <w:kern w:val="2"/>
          <w:sz w:val="20"/>
          <w:szCs w:val="20"/>
        </w:rPr>
        <w:t>认证证书签发年份：</w:t>
      </w:r>
      <w:r>
        <w:rPr>
          <w:rFonts w:cs="Times New Roman"/>
          <w:spacing w:val="3"/>
          <w:kern w:val="2"/>
          <w:sz w:val="20"/>
          <w:szCs w:val="20"/>
        </w:rPr>
        <w:t>25-2025</w:t>
      </w:r>
      <w:r>
        <w:rPr>
          <w:rFonts w:cs="Times New Roman"/>
          <w:spacing w:val="-10"/>
          <w:kern w:val="2"/>
          <w:sz w:val="20"/>
          <w:szCs w:val="20"/>
        </w:rPr>
        <w:t xml:space="preserve"> </w:t>
      </w:r>
      <w:r>
        <w:rPr>
          <w:rFonts w:cs="仿宋"/>
          <w:spacing w:val="3"/>
          <w:kern w:val="2"/>
          <w:sz w:val="20"/>
          <w:szCs w:val="20"/>
        </w:rPr>
        <w:t>，</w:t>
      </w:r>
      <w:r>
        <w:rPr>
          <w:rFonts w:cs="Times New Roman"/>
          <w:spacing w:val="3"/>
          <w:kern w:val="2"/>
          <w:sz w:val="20"/>
          <w:szCs w:val="20"/>
        </w:rPr>
        <w:t>26-2026</w:t>
      </w:r>
      <w:r>
        <w:rPr>
          <w:rFonts w:cs="Times New Roman"/>
          <w:spacing w:val="-23"/>
          <w:kern w:val="2"/>
          <w:sz w:val="20"/>
          <w:szCs w:val="20"/>
        </w:rPr>
        <w:t xml:space="preserve"> </w:t>
      </w:r>
      <w:r>
        <w:rPr>
          <w:rFonts w:cs="仿宋"/>
          <w:spacing w:val="3"/>
          <w:kern w:val="2"/>
          <w:sz w:val="20"/>
          <w:szCs w:val="20"/>
        </w:rPr>
        <w:t>，</w:t>
      </w:r>
      <w:r>
        <w:rPr>
          <w:rFonts w:cs="仿宋"/>
          <w:spacing w:val="-69"/>
          <w:kern w:val="2"/>
          <w:sz w:val="20"/>
          <w:szCs w:val="20"/>
        </w:rPr>
        <w:t xml:space="preserve"> </w:t>
      </w:r>
      <w:r>
        <w:rPr>
          <w:rFonts w:cs="仿宋"/>
          <w:spacing w:val="3"/>
          <w:kern w:val="2"/>
          <w:sz w:val="20"/>
          <w:szCs w:val="20"/>
        </w:rPr>
        <w:t>……</w:t>
      </w:r>
    </w:p>
    <w:p w14:paraId="66D40481">
      <w:pPr>
        <w:autoSpaceDE/>
        <w:autoSpaceDN/>
        <w:spacing w:before="288" w:line="288" w:lineRule="auto"/>
        <w:ind w:left="113" w:right="206" w:firstLine="636" w:firstLineChars="300"/>
        <w:rPr>
          <w:rFonts w:hint="eastAsia" w:cs="仿宋"/>
          <w:kern w:val="2"/>
          <w:sz w:val="20"/>
          <w:szCs w:val="20"/>
        </w:rPr>
      </w:pPr>
      <w:r>
        <w:rPr>
          <w:rFonts w:cs="仿宋"/>
          <w:spacing w:val="6"/>
          <w:kern w:val="2"/>
          <w:sz w:val="20"/>
          <w:szCs w:val="20"/>
        </w:rPr>
        <w:t>内资认证机构为认证机构批准号后三</w:t>
      </w:r>
      <w:r>
        <w:rPr>
          <w:rFonts w:cs="Times New Roman"/>
          <w:spacing w:val="6"/>
          <w:kern w:val="2"/>
          <w:sz w:val="20"/>
          <w:szCs w:val="20"/>
        </w:rPr>
        <w:t>/</w:t>
      </w:r>
      <w:r>
        <w:rPr>
          <w:rFonts w:cs="仿宋"/>
          <w:spacing w:val="6"/>
          <w:kern w:val="2"/>
          <w:sz w:val="20"/>
          <w:szCs w:val="20"/>
        </w:rPr>
        <w:t>四位数字批准流水号；外资认证机构为</w:t>
      </w:r>
      <w:r>
        <w:rPr>
          <w:rFonts w:cs="仿宋"/>
          <w:spacing w:val="-37"/>
          <w:kern w:val="2"/>
          <w:sz w:val="20"/>
          <w:szCs w:val="20"/>
        </w:rPr>
        <w:t xml:space="preserve"> </w:t>
      </w:r>
      <w:r>
        <w:rPr>
          <w:rFonts w:cs="Times New Roman"/>
          <w:spacing w:val="6"/>
          <w:kern w:val="2"/>
          <w:sz w:val="20"/>
          <w:szCs w:val="20"/>
        </w:rPr>
        <w:t>F+</w:t>
      </w:r>
      <w:r>
        <w:rPr>
          <w:rFonts w:cs="仿宋"/>
          <w:spacing w:val="6"/>
          <w:kern w:val="2"/>
          <w:sz w:val="20"/>
          <w:szCs w:val="20"/>
        </w:rPr>
        <w:t>认证机构批</w:t>
      </w:r>
      <w:r>
        <w:rPr>
          <w:rFonts w:cs="仿宋"/>
          <w:spacing w:val="7"/>
          <w:kern w:val="2"/>
          <w:sz w:val="20"/>
          <w:szCs w:val="20"/>
        </w:rPr>
        <w:t>准号后三数字批准流水号，不足三位的，首位以</w:t>
      </w:r>
      <w:r>
        <w:rPr>
          <w:rFonts w:cs="仿宋"/>
          <w:spacing w:val="-26"/>
          <w:kern w:val="2"/>
          <w:sz w:val="20"/>
          <w:szCs w:val="20"/>
        </w:rPr>
        <w:t xml:space="preserve"> </w:t>
      </w:r>
      <w:r>
        <w:rPr>
          <w:rFonts w:cs="Times New Roman"/>
          <w:spacing w:val="7"/>
          <w:kern w:val="2"/>
          <w:sz w:val="20"/>
          <w:szCs w:val="20"/>
        </w:rPr>
        <w:t>0</w:t>
      </w:r>
      <w:r>
        <w:rPr>
          <w:rFonts w:cs="Times New Roman"/>
          <w:spacing w:val="21"/>
          <w:kern w:val="2"/>
          <w:sz w:val="20"/>
          <w:szCs w:val="20"/>
        </w:rPr>
        <w:t xml:space="preserve"> </w:t>
      </w:r>
      <w:r>
        <w:rPr>
          <w:rFonts w:cs="仿宋"/>
          <w:spacing w:val="7"/>
          <w:kern w:val="2"/>
          <w:sz w:val="20"/>
          <w:szCs w:val="20"/>
        </w:rPr>
        <w:t>补位。</w:t>
      </w:r>
    </w:p>
    <w:p w14:paraId="6EBDA53F">
      <w:pPr>
        <w:autoSpaceDE/>
        <w:autoSpaceDN/>
        <w:spacing w:line="312" w:lineRule="auto"/>
        <w:ind w:firstLine="474"/>
        <w:rPr>
          <w:rFonts w:hint="eastAsia" w:cs="Times New Roman"/>
          <w:kern w:val="2"/>
          <w:szCs w:val="20"/>
        </w:rPr>
      </w:pPr>
      <w:r>
        <w:rPr>
          <w:rFonts w:cs="仿宋"/>
          <w:spacing w:val="-3"/>
          <w:kern w:val="2"/>
          <w:sz w:val="24"/>
          <w:szCs w:val="24"/>
        </w:rPr>
        <w:t>资</w:t>
      </w:r>
      <w:r>
        <w:rPr>
          <w:rFonts w:cs="Times New Roman"/>
          <w:kern w:val="2"/>
          <w:szCs w:val="20"/>
        </w:rPr>
        <w:t>认证机构，RF 表示外资认证机构，年份为4位阿拉伯数字，流水号是内资、外资认证机构分别流水编号。 内资认证机构代码为：该认证机构批准号的3位或4位阿拉伯数字批准流水号；外资认证机构代码为：F+认证机构批准号的后3位阿拉伯数字批准流水号，不足3位的，首位以0补位。</w:t>
      </w:r>
    </w:p>
    <w:p w14:paraId="7C7960A9">
      <w:pPr>
        <w:autoSpaceDE/>
        <w:autoSpaceDN/>
        <w:spacing w:line="312" w:lineRule="auto"/>
        <w:ind w:firstLine="420"/>
        <w:rPr>
          <w:rFonts w:hint="eastAsia" w:cs="Times New Roman"/>
          <w:kern w:val="2"/>
          <w:szCs w:val="20"/>
        </w:rPr>
      </w:pPr>
      <w:r>
        <w:rPr>
          <w:rFonts w:cs="Times New Roman"/>
          <w:kern w:val="2"/>
          <w:szCs w:val="20"/>
        </w:rPr>
        <w:t>C.2  同一个组织的认证范围覆盖多个场所并需要颁发子证书时，子证书编号为在主认证证书编号后加上 “- ”和序号，如-1（-2 ，-3， … … ) 。</w:t>
      </w:r>
    </w:p>
    <w:p w14:paraId="577E407C">
      <w:pPr>
        <w:autoSpaceDE/>
        <w:autoSpaceDN/>
        <w:spacing w:line="312" w:lineRule="auto"/>
        <w:ind w:firstLine="420"/>
        <w:rPr>
          <w:rFonts w:hint="eastAsia" w:cs="Times New Roman"/>
          <w:kern w:val="2"/>
          <w:szCs w:val="20"/>
        </w:rPr>
      </w:pPr>
      <w:r>
        <w:rPr>
          <w:rFonts w:cs="Times New Roman"/>
          <w:kern w:val="2"/>
          <w:szCs w:val="20"/>
        </w:rPr>
        <w:t>C.3  有效期内换发认证证书，认证证书编号中的机构注册号、年份号、顺序号和认证证书的有效期保持不变，应注明换证日期。</w:t>
      </w:r>
    </w:p>
    <w:p w14:paraId="217CB016">
      <w:pPr>
        <w:autoSpaceDE/>
        <w:autoSpaceDN/>
        <w:spacing w:line="312" w:lineRule="auto"/>
        <w:ind w:firstLine="420"/>
        <w:rPr>
          <w:rFonts w:hint="eastAsia" w:cs="Times New Roman"/>
          <w:kern w:val="2"/>
          <w:szCs w:val="20"/>
        </w:rPr>
      </w:pPr>
      <w:r>
        <w:rPr>
          <w:rFonts w:cs="Times New Roman"/>
          <w:kern w:val="2"/>
          <w:szCs w:val="20"/>
        </w:rPr>
        <w:t>C.4  再认证完成后换发认证证书，按 C. 1规定重新赋予认证证书编号，初次认证为 “R0”，第一次再认证为 “R1”，第二次再认证为 “R2” ，依此类推。</w:t>
      </w:r>
    </w:p>
    <w:p w14:paraId="477C0A11">
      <w:pPr>
        <w:autoSpaceDE/>
        <w:autoSpaceDN/>
        <w:spacing w:line="312" w:lineRule="auto"/>
        <w:ind w:firstLine="420"/>
        <w:rPr>
          <w:rFonts w:hint="eastAsia"/>
        </w:rPr>
        <w:sectPr>
          <w:pgSz w:w="11905" w:h="16838"/>
          <w:pgMar w:top="851" w:right="851" w:bottom="851" w:left="851" w:header="340" w:footer="510" w:gutter="0"/>
          <w:cols w:space="720" w:num="1"/>
          <w:docGrid w:linePitch="317" w:charSpace="0"/>
        </w:sectPr>
      </w:pPr>
      <w:r>
        <w:rPr>
          <w:rFonts w:cs="Times New Roman"/>
          <w:kern w:val="2"/>
          <w:szCs w:val="20"/>
        </w:rPr>
        <w:t>C.5  撤销认证证书后，原认证证书编号废止，不再使用</w:t>
      </w:r>
      <w:r>
        <w:rPr>
          <w:rFonts w:hint="eastAsia" w:cs="Times New Roman"/>
          <w:kern w:val="2"/>
          <w:szCs w:val="20"/>
        </w:rPr>
        <w:t>。</w:t>
      </w:r>
    </w:p>
    <w:bookmarkEnd w:id="150"/>
    <w:bookmarkEnd w:id="151"/>
    <w:bookmarkEnd w:id="152"/>
    <w:bookmarkEnd w:id="153"/>
    <w:p w14:paraId="7C9B125A">
      <w:pPr>
        <w:pStyle w:val="2"/>
        <w:rPr>
          <w:rFonts w:ascii="宋体" w:hAnsi="宋体"/>
        </w:rPr>
      </w:pPr>
      <w:bookmarkStart w:id="164" w:name="_Toc205390445"/>
      <w:bookmarkStart w:id="165" w:name="_Toc31865"/>
      <w:bookmarkStart w:id="166" w:name="_Toc226880967"/>
      <w:bookmarkStart w:id="167" w:name="_Toc205390530"/>
      <w:r>
        <w:rPr>
          <w:rFonts w:hint="eastAsia" w:ascii="宋体" w:hAnsi="宋体"/>
        </w:rPr>
        <w:t>附件</w:t>
      </w:r>
      <w:bookmarkEnd w:id="164"/>
      <w:r>
        <w:rPr>
          <w:rFonts w:hint="eastAsia" w:ascii="宋体" w:hAnsi="宋体"/>
        </w:rPr>
        <w:t>一</w:t>
      </w:r>
      <w:bookmarkStart w:id="168" w:name="_Toc205390446"/>
      <w:r>
        <w:rPr>
          <w:rFonts w:hint="eastAsia" w:ascii="宋体" w:hAnsi="宋体"/>
        </w:rPr>
        <w:t xml:space="preserve">  机构认证业务范围</w:t>
      </w:r>
      <w:bookmarkEnd w:id="165"/>
      <w:bookmarkEnd w:id="166"/>
      <w:bookmarkEnd w:id="168"/>
    </w:p>
    <w:p w14:paraId="641C0147">
      <w:pPr>
        <w:ind w:firstLine="420"/>
        <w:rPr>
          <w:rFonts w:hint="eastAsia"/>
        </w:rPr>
      </w:pPr>
      <w:r>
        <w:rPr>
          <w:rFonts w:hint="eastAsia"/>
        </w:rPr>
        <w:t>机构认证业务范围</w:t>
      </w:r>
      <w:bookmarkEnd w:id="167"/>
    </w:p>
    <w:p w14:paraId="2169E0EE">
      <w:pPr>
        <w:ind w:firstLine="420"/>
        <w:rPr>
          <w:rFonts w:hint="eastAsia"/>
        </w:rPr>
      </w:pPr>
      <w:r>
        <w:rPr>
          <w:rFonts w:hint="eastAsia"/>
        </w:rPr>
        <w:t>引用：《管理体系认证活动相关业务范围分类手册》</w:t>
      </w:r>
    </w:p>
    <w:p w14:paraId="75E6BFA8">
      <w:pPr>
        <w:ind w:firstLine="420"/>
        <w:rPr>
          <w:rFonts w:hint="eastAsia"/>
        </w:rPr>
      </w:pPr>
    </w:p>
    <w:p w14:paraId="30538EE3">
      <w:pPr>
        <w:ind w:firstLine="420"/>
        <w:rPr>
          <w:rFonts w:hint="eastAsia"/>
        </w:rPr>
      </w:pPr>
      <w:bookmarkStart w:id="169" w:name="_Toc205390531"/>
      <w:r>
        <w:rPr>
          <w:rFonts w:hint="eastAsia"/>
        </w:rPr>
        <w:drawing>
          <wp:anchor distT="0" distB="0" distL="114300" distR="114300" simplePos="0" relativeHeight="251663360" behindDoc="0" locked="0" layoutInCell="1" allowOverlap="1">
            <wp:simplePos x="0" y="0"/>
            <wp:positionH relativeFrom="column">
              <wp:posOffset>499110</wp:posOffset>
            </wp:positionH>
            <wp:positionV relativeFrom="paragraph">
              <wp:posOffset>60325</wp:posOffset>
            </wp:positionV>
            <wp:extent cx="5002530" cy="7349490"/>
            <wp:effectExtent l="9525" t="9525" r="17145" b="17145"/>
            <wp:wrapNone/>
            <wp:docPr id="8" name="图片 4" descr="微信图片_2025061516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微信图片_20250615160548"/>
                    <pic:cNvPicPr>
                      <a:picLocks noChangeAspect="1"/>
                    </pic:cNvPicPr>
                  </pic:nvPicPr>
                  <pic:blipFill>
                    <a:blip r:embed="rId25"/>
                    <a:stretch>
                      <a:fillRect/>
                    </a:stretch>
                  </pic:blipFill>
                  <pic:spPr>
                    <a:xfrm>
                      <a:off x="0" y="0"/>
                      <a:ext cx="5002530" cy="7349490"/>
                    </a:xfrm>
                    <a:prstGeom prst="rect">
                      <a:avLst/>
                    </a:prstGeom>
                    <a:noFill/>
                    <a:ln w="9525" cap="flat" cmpd="sng">
                      <a:solidFill>
                        <a:srgbClr val="000000"/>
                      </a:solidFill>
                      <a:prstDash val="solid"/>
                      <a:miter/>
                      <a:headEnd type="none" w="med" len="med"/>
                      <a:tailEnd type="none" w="med" len="med"/>
                    </a:ln>
                  </pic:spPr>
                </pic:pic>
              </a:graphicData>
            </a:graphic>
          </wp:anchor>
        </w:drawing>
      </w:r>
      <w:bookmarkEnd w:id="169"/>
    </w:p>
    <w:p w14:paraId="109D61E0">
      <w:pPr>
        <w:ind w:firstLine="420"/>
        <w:rPr>
          <w:rFonts w:hint="eastAsia"/>
        </w:rPr>
      </w:pPr>
    </w:p>
    <w:p w14:paraId="00C085D3">
      <w:pPr>
        <w:ind w:firstLine="420"/>
        <w:rPr>
          <w:rFonts w:hint="eastAsia"/>
        </w:rPr>
      </w:pPr>
    </w:p>
    <w:p w14:paraId="74DAB303">
      <w:pPr>
        <w:ind w:firstLine="420"/>
        <w:rPr>
          <w:rFonts w:hint="eastAsia"/>
        </w:rPr>
      </w:pPr>
    </w:p>
    <w:p w14:paraId="05125F40">
      <w:pPr>
        <w:ind w:firstLine="420"/>
        <w:rPr>
          <w:rFonts w:hint="eastAsia"/>
        </w:rPr>
      </w:pPr>
    </w:p>
    <w:p w14:paraId="2CDCBB25">
      <w:pPr>
        <w:ind w:firstLine="420"/>
        <w:rPr>
          <w:rFonts w:hint="eastAsia"/>
        </w:rPr>
      </w:pPr>
    </w:p>
    <w:p w14:paraId="2B044A51">
      <w:pPr>
        <w:ind w:firstLine="420"/>
        <w:rPr>
          <w:rFonts w:hint="eastAsia"/>
        </w:rPr>
      </w:pPr>
    </w:p>
    <w:p w14:paraId="5EA3D107">
      <w:pPr>
        <w:ind w:firstLine="420"/>
        <w:rPr>
          <w:rFonts w:hint="eastAsia"/>
        </w:rPr>
      </w:pPr>
    </w:p>
    <w:p w14:paraId="4D96DDF2">
      <w:pPr>
        <w:ind w:firstLine="420"/>
        <w:rPr>
          <w:rFonts w:hint="eastAsia"/>
        </w:rPr>
      </w:pPr>
    </w:p>
    <w:p w14:paraId="2FCD760A">
      <w:pPr>
        <w:ind w:firstLine="420"/>
        <w:rPr>
          <w:rFonts w:hint="eastAsia"/>
        </w:rPr>
      </w:pPr>
    </w:p>
    <w:p w14:paraId="78363166">
      <w:pPr>
        <w:ind w:firstLine="420"/>
        <w:rPr>
          <w:rFonts w:hint="eastAsia"/>
        </w:rPr>
      </w:pPr>
    </w:p>
    <w:p w14:paraId="5212191A">
      <w:pPr>
        <w:ind w:firstLine="420"/>
        <w:rPr>
          <w:rFonts w:hint="eastAsia"/>
        </w:rPr>
      </w:pPr>
    </w:p>
    <w:p w14:paraId="1B59EED0">
      <w:pPr>
        <w:ind w:firstLine="420"/>
        <w:rPr>
          <w:rFonts w:hint="eastAsia"/>
        </w:rPr>
      </w:pPr>
    </w:p>
    <w:p w14:paraId="642B5868">
      <w:pPr>
        <w:ind w:firstLine="420"/>
        <w:rPr>
          <w:rFonts w:hint="eastAsia"/>
        </w:rPr>
      </w:pPr>
    </w:p>
    <w:p w14:paraId="6DEB8C7C">
      <w:pPr>
        <w:ind w:firstLine="420"/>
        <w:rPr>
          <w:rFonts w:hint="eastAsia"/>
        </w:rPr>
      </w:pPr>
    </w:p>
    <w:p w14:paraId="007950CF">
      <w:pPr>
        <w:ind w:firstLine="420"/>
        <w:rPr>
          <w:rFonts w:hint="eastAsia"/>
        </w:rPr>
      </w:pPr>
    </w:p>
    <w:p w14:paraId="491DCE12">
      <w:pPr>
        <w:ind w:firstLine="420"/>
        <w:rPr>
          <w:rFonts w:hint="eastAsia"/>
        </w:rPr>
      </w:pPr>
    </w:p>
    <w:p w14:paraId="17775D36">
      <w:pPr>
        <w:ind w:firstLine="420"/>
        <w:rPr>
          <w:rFonts w:hint="eastAsia"/>
        </w:rPr>
      </w:pPr>
    </w:p>
    <w:p w14:paraId="593FA94C">
      <w:pPr>
        <w:ind w:firstLine="420"/>
        <w:rPr>
          <w:rFonts w:hint="eastAsia"/>
        </w:rPr>
      </w:pPr>
    </w:p>
    <w:p w14:paraId="7A4EA9CA">
      <w:pPr>
        <w:ind w:firstLine="420"/>
        <w:rPr>
          <w:rFonts w:hint="eastAsia"/>
        </w:rPr>
      </w:pPr>
    </w:p>
    <w:p w14:paraId="36D49AC7">
      <w:pPr>
        <w:ind w:firstLine="420"/>
        <w:rPr>
          <w:rFonts w:hint="eastAsia"/>
        </w:rPr>
      </w:pPr>
    </w:p>
    <w:p w14:paraId="15428974">
      <w:pPr>
        <w:ind w:firstLine="420"/>
        <w:rPr>
          <w:rFonts w:hint="eastAsia"/>
        </w:rPr>
      </w:pPr>
    </w:p>
    <w:p w14:paraId="349FF3B8">
      <w:pPr>
        <w:ind w:firstLine="420"/>
        <w:rPr>
          <w:rFonts w:hint="eastAsia"/>
        </w:rPr>
      </w:pPr>
    </w:p>
    <w:p w14:paraId="7755A5BE">
      <w:pPr>
        <w:ind w:firstLine="420"/>
        <w:rPr>
          <w:rFonts w:hint="eastAsia"/>
        </w:rPr>
      </w:pPr>
    </w:p>
    <w:p w14:paraId="2BC46A4D">
      <w:pPr>
        <w:ind w:firstLine="420"/>
        <w:rPr>
          <w:rFonts w:hint="eastAsia"/>
        </w:rPr>
      </w:pPr>
    </w:p>
    <w:p w14:paraId="292EE49D">
      <w:pPr>
        <w:ind w:firstLine="420"/>
        <w:rPr>
          <w:rFonts w:hint="eastAsia"/>
        </w:rPr>
      </w:pPr>
    </w:p>
    <w:p w14:paraId="0705304F">
      <w:pPr>
        <w:ind w:firstLine="420"/>
        <w:rPr>
          <w:rFonts w:hint="eastAsia"/>
        </w:rPr>
      </w:pPr>
    </w:p>
    <w:p w14:paraId="6D1AEEEF">
      <w:pPr>
        <w:ind w:firstLine="420"/>
        <w:rPr>
          <w:rFonts w:hint="eastAsia"/>
        </w:rPr>
      </w:pPr>
    </w:p>
    <w:p w14:paraId="3D4D356B">
      <w:pPr>
        <w:ind w:firstLine="420"/>
        <w:rPr>
          <w:rFonts w:hint="eastAsia"/>
        </w:rPr>
        <w:sectPr>
          <w:headerReference r:id="rId15" w:type="default"/>
          <w:footerReference r:id="rId16" w:type="default"/>
          <w:pgSz w:w="11911" w:h="16838"/>
          <w:pgMar w:top="851" w:right="851" w:bottom="851" w:left="851" w:header="340" w:footer="510" w:gutter="0"/>
          <w:cols w:space="0" w:num="1"/>
          <w:docGrid w:linePitch="299" w:charSpace="0"/>
        </w:sectPr>
      </w:pPr>
    </w:p>
    <w:p w14:paraId="5607279B">
      <w:pPr>
        <w:pStyle w:val="2"/>
        <w:rPr>
          <w:rFonts w:ascii="宋体" w:hAnsi="宋体"/>
        </w:rPr>
      </w:pPr>
      <w:bookmarkStart w:id="170" w:name="_Toc205390532"/>
      <w:bookmarkStart w:id="171" w:name="_Toc26358"/>
      <w:r>
        <w:rPr>
          <w:rFonts w:hint="eastAsia" w:ascii="宋体" w:hAnsi="宋体"/>
        </w:rPr>
        <w:t>附件</w:t>
      </w:r>
      <w:bookmarkEnd w:id="170"/>
      <w:r>
        <w:rPr>
          <w:rFonts w:hint="eastAsia" w:ascii="宋体" w:hAnsi="宋体"/>
        </w:rPr>
        <w:t>二</w:t>
      </w:r>
      <w:bookmarkStart w:id="172" w:name="_Toc205390533"/>
      <w:r>
        <w:rPr>
          <w:rFonts w:hint="eastAsia" w:ascii="宋体" w:hAnsi="宋体"/>
        </w:rPr>
        <w:t xml:space="preserve">  标准</w:t>
      </w:r>
      <w:bookmarkEnd w:id="171"/>
      <w:bookmarkEnd w:id="172"/>
    </w:p>
    <w:p w14:paraId="6B874810">
      <w:pPr>
        <w:ind w:firstLine="420"/>
        <w:rPr>
          <w:rFonts w:hint="eastAsia"/>
        </w:rPr>
      </w:pPr>
    </w:p>
    <w:bookmarkEnd w:id="154"/>
    <w:p w14:paraId="3FE47716">
      <w:pPr>
        <w:ind w:firstLine="420"/>
        <w:rPr>
          <w:rFonts w:hint="eastAsia"/>
        </w:rPr>
      </w:pPr>
    </w:p>
    <w:p w14:paraId="3AB968C6">
      <w:pPr>
        <w:ind w:firstLine="420"/>
        <w:jc w:val="center"/>
        <w:rPr>
          <w:rFonts w:hint="eastAsia"/>
        </w:rPr>
      </w:pPr>
      <w:r>
        <w:drawing>
          <wp:inline distT="0" distB="0" distL="0" distR="0">
            <wp:extent cx="5353685" cy="7574280"/>
            <wp:effectExtent l="0" t="0" r="0" b="7620"/>
            <wp:docPr id="15998699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69981" name="图片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357873" cy="7579755"/>
                    </a:xfrm>
                    <a:prstGeom prst="rect">
                      <a:avLst/>
                    </a:prstGeom>
                    <a:noFill/>
                    <a:ln>
                      <a:noFill/>
                    </a:ln>
                  </pic:spPr>
                </pic:pic>
              </a:graphicData>
            </a:graphic>
          </wp:inline>
        </w:drawing>
      </w:r>
    </w:p>
    <w:p w14:paraId="75F54F57">
      <w:pPr>
        <w:ind w:firstLine="420"/>
        <w:jc w:val="center"/>
        <w:rPr>
          <w:rFonts w:hint="eastAsia"/>
        </w:rPr>
      </w:pPr>
    </w:p>
    <w:p w14:paraId="5EF1AD85">
      <w:pPr>
        <w:ind w:firstLine="420"/>
        <w:jc w:val="center"/>
        <w:rPr>
          <w:rFonts w:hint="eastAsia"/>
        </w:rPr>
      </w:pPr>
      <w:r>
        <w:drawing>
          <wp:inline distT="0" distB="0" distL="0" distR="0">
            <wp:extent cx="5801360" cy="8207375"/>
            <wp:effectExtent l="0" t="0" r="8890" b="3175"/>
            <wp:docPr id="2009457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57215" name="图片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801960" cy="8208000"/>
                    </a:xfrm>
                    <a:prstGeom prst="rect">
                      <a:avLst/>
                    </a:prstGeom>
                    <a:noFill/>
                    <a:ln>
                      <a:noFill/>
                    </a:ln>
                  </pic:spPr>
                </pic:pic>
              </a:graphicData>
            </a:graphic>
          </wp:inline>
        </w:drawing>
      </w:r>
    </w:p>
    <w:p w14:paraId="789ABD53">
      <w:pPr>
        <w:ind w:firstLine="420"/>
        <w:jc w:val="center"/>
        <w:rPr>
          <w:rFonts w:hint="eastAsia"/>
        </w:rPr>
      </w:pPr>
    </w:p>
    <w:p w14:paraId="635E1C93">
      <w:pPr>
        <w:ind w:firstLine="420"/>
        <w:jc w:val="center"/>
        <w:rPr>
          <w:rFonts w:hint="eastAsia"/>
        </w:rPr>
      </w:pPr>
    </w:p>
    <w:p w14:paraId="2C7B2452">
      <w:pPr>
        <w:ind w:firstLine="420"/>
        <w:jc w:val="center"/>
        <w:rPr>
          <w:rFonts w:hint="eastAsia"/>
        </w:rPr>
      </w:pPr>
      <w:r>
        <w:drawing>
          <wp:inline distT="0" distB="0" distL="0" distR="0">
            <wp:extent cx="6118860" cy="8656320"/>
            <wp:effectExtent l="0" t="0" r="0" b="0"/>
            <wp:docPr id="18038140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14073" name="图片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4636354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35491" name="图片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16382217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21704" name="图片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0B2D2D5E">
      <w:pPr>
        <w:ind w:firstLine="420"/>
        <w:jc w:val="center"/>
        <w:rPr>
          <w:rFonts w:hint="eastAsia"/>
        </w:rPr>
      </w:pPr>
      <w:r>
        <w:drawing>
          <wp:inline distT="0" distB="0" distL="0" distR="0">
            <wp:extent cx="6118860" cy="8656320"/>
            <wp:effectExtent l="0" t="0" r="0" b="0"/>
            <wp:docPr id="21193430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43066" name="图片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5F321EE0">
      <w:pPr>
        <w:ind w:firstLine="420"/>
        <w:jc w:val="center"/>
        <w:rPr>
          <w:rFonts w:hint="eastAsia"/>
        </w:rPr>
      </w:pPr>
      <w:r>
        <w:drawing>
          <wp:inline distT="0" distB="0" distL="0" distR="0">
            <wp:extent cx="6118860" cy="8656320"/>
            <wp:effectExtent l="0" t="0" r="0" b="0"/>
            <wp:docPr id="118691819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18197" name="图片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20D76C44">
      <w:pPr>
        <w:ind w:firstLine="420"/>
        <w:jc w:val="center"/>
        <w:rPr>
          <w:rFonts w:hint="eastAsia"/>
        </w:rPr>
      </w:pPr>
      <w:r>
        <w:drawing>
          <wp:inline distT="0" distB="0" distL="0" distR="0">
            <wp:extent cx="6118860" cy="8656320"/>
            <wp:effectExtent l="0" t="0" r="0" b="0"/>
            <wp:docPr id="8297133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13372" name="图片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197253808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38087" name="图片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178289750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97502" name="图片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8646690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69012" name="图片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10199708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70846" name="图片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r>
        <w:drawing>
          <wp:inline distT="0" distB="0" distL="0" distR="0">
            <wp:extent cx="6118860" cy="8656320"/>
            <wp:effectExtent l="0" t="0" r="0" b="0"/>
            <wp:docPr id="16641898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89848" name="图片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03612DF8">
      <w:pPr>
        <w:ind w:firstLine="420"/>
        <w:jc w:val="center"/>
        <w:rPr>
          <w:rFonts w:hint="eastAsia"/>
        </w:rPr>
      </w:pPr>
      <w:r>
        <w:drawing>
          <wp:inline distT="0" distB="0" distL="0" distR="0">
            <wp:extent cx="6118860" cy="8656320"/>
            <wp:effectExtent l="0" t="0" r="0" b="0"/>
            <wp:docPr id="201735618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56180" name="图片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422D3E96">
      <w:pPr>
        <w:ind w:firstLine="420"/>
        <w:jc w:val="center"/>
        <w:rPr>
          <w:rFonts w:hint="eastAsia"/>
        </w:rPr>
      </w:pPr>
      <w:r>
        <w:drawing>
          <wp:inline distT="0" distB="0" distL="0" distR="0">
            <wp:extent cx="6118860" cy="8656320"/>
            <wp:effectExtent l="0" t="0" r="0" b="0"/>
            <wp:docPr id="74148500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85009" name="图片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6118860" cy="8656320"/>
                    </a:xfrm>
                    <a:prstGeom prst="rect">
                      <a:avLst/>
                    </a:prstGeom>
                    <a:noFill/>
                    <a:ln>
                      <a:noFill/>
                    </a:ln>
                  </pic:spPr>
                </pic:pic>
              </a:graphicData>
            </a:graphic>
          </wp:inline>
        </w:drawing>
      </w:r>
    </w:p>
    <w:p w14:paraId="5CC6E2DF">
      <w:pPr>
        <w:ind w:firstLine="420"/>
        <w:jc w:val="center"/>
        <w:rPr>
          <w:rFonts w:hint="eastAsia"/>
        </w:rPr>
      </w:pPr>
      <w:r>
        <w:drawing>
          <wp:inline distT="0" distB="0" distL="0" distR="0">
            <wp:extent cx="6123305" cy="8663305"/>
            <wp:effectExtent l="0" t="0" r="0" b="4445"/>
            <wp:docPr id="138175226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52262" name="图片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54FA71CF">
      <w:pPr>
        <w:ind w:firstLine="420"/>
        <w:jc w:val="center"/>
        <w:rPr>
          <w:rFonts w:hint="eastAsia"/>
        </w:rPr>
      </w:pPr>
      <w:r>
        <w:drawing>
          <wp:inline distT="0" distB="0" distL="0" distR="0">
            <wp:extent cx="6123305" cy="8663305"/>
            <wp:effectExtent l="0" t="0" r="0" b="4445"/>
            <wp:docPr id="1772453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5326" name="图片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26ECE226">
      <w:pPr>
        <w:ind w:firstLine="420"/>
        <w:jc w:val="center"/>
        <w:rPr>
          <w:rFonts w:hint="eastAsia"/>
        </w:rPr>
      </w:pPr>
      <w:r>
        <w:drawing>
          <wp:inline distT="0" distB="0" distL="0" distR="0">
            <wp:extent cx="6123305" cy="8663305"/>
            <wp:effectExtent l="0" t="0" r="0" b="4445"/>
            <wp:docPr id="10068523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52327" name="图片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68AC9E60">
      <w:pPr>
        <w:ind w:firstLine="420"/>
        <w:jc w:val="center"/>
        <w:rPr>
          <w:rFonts w:hint="eastAsia"/>
        </w:rPr>
      </w:pPr>
      <w:r>
        <w:drawing>
          <wp:inline distT="0" distB="0" distL="0" distR="0">
            <wp:extent cx="6123305" cy="8663305"/>
            <wp:effectExtent l="0" t="0" r="0" b="4445"/>
            <wp:docPr id="52855906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59066" name="图片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4144A928">
      <w:pPr>
        <w:ind w:firstLine="420"/>
        <w:jc w:val="center"/>
        <w:rPr>
          <w:rFonts w:hint="eastAsia"/>
        </w:rPr>
      </w:pPr>
      <w:r>
        <w:drawing>
          <wp:inline distT="0" distB="0" distL="0" distR="0">
            <wp:extent cx="6123305" cy="8663305"/>
            <wp:effectExtent l="0" t="0" r="0" b="4445"/>
            <wp:docPr id="16081070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07053" name="图片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2A5CC624">
      <w:pPr>
        <w:ind w:firstLine="420"/>
        <w:jc w:val="center"/>
        <w:rPr>
          <w:rFonts w:hint="eastAsia"/>
        </w:rPr>
      </w:pPr>
      <w:bookmarkStart w:id="183" w:name="_GoBack"/>
      <w:bookmarkEnd w:id="183"/>
      <w:r>
        <w:drawing>
          <wp:inline distT="0" distB="0" distL="0" distR="0">
            <wp:extent cx="6123305" cy="8663305"/>
            <wp:effectExtent l="0" t="0" r="10795" b="10795"/>
            <wp:docPr id="43645647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56476" name="图片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442A2606">
      <w:pPr>
        <w:ind w:firstLine="420"/>
        <w:jc w:val="center"/>
        <w:rPr>
          <w:rFonts w:cs="Microsoft Sans Serif"/>
          <w:b/>
          <w:bCs/>
          <w:szCs w:val="32"/>
        </w:rPr>
      </w:pPr>
      <w:r>
        <w:drawing>
          <wp:inline distT="0" distB="0" distL="0" distR="0">
            <wp:extent cx="6123305" cy="8663305"/>
            <wp:effectExtent l="0" t="0" r="0" b="4445"/>
            <wp:docPr id="9707324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32434" name="图片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6123305" cy="8663305"/>
                    </a:xfrm>
                    <a:prstGeom prst="rect">
                      <a:avLst/>
                    </a:prstGeom>
                    <a:noFill/>
                    <a:ln>
                      <a:noFill/>
                    </a:ln>
                  </pic:spPr>
                </pic:pic>
              </a:graphicData>
            </a:graphic>
          </wp:inline>
        </w:drawing>
      </w:r>
    </w:p>
    <w:p w14:paraId="200190F1">
      <w:pPr>
        <w:ind w:firstLine="198" w:firstLineChars="94"/>
        <w:rPr>
          <w:rFonts w:cs="Microsoft Sans Serif"/>
          <w:b/>
          <w:bCs/>
          <w:szCs w:val="32"/>
        </w:rPr>
        <w:sectPr>
          <w:pgSz w:w="11911" w:h="16838"/>
          <w:pgMar w:top="851" w:right="851" w:bottom="851" w:left="851" w:header="113" w:footer="510" w:gutter="0"/>
          <w:cols w:space="0" w:num="1"/>
          <w:docGrid w:linePitch="299" w:charSpace="0"/>
        </w:sectPr>
      </w:pPr>
    </w:p>
    <w:p w14:paraId="77224271">
      <w:pPr>
        <w:pStyle w:val="2"/>
        <w:rPr>
          <w:rFonts w:ascii="宋体" w:hAnsi="宋体"/>
        </w:rPr>
      </w:pPr>
      <w:bookmarkStart w:id="173" w:name="_Toc12349"/>
      <w:bookmarkStart w:id="174" w:name="_Toc226880969"/>
      <w:bookmarkStart w:id="175" w:name="_Toc205390535"/>
      <w:bookmarkStart w:id="176" w:name="_Toc200875079"/>
      <w:r>
        <w:rPr>
          <w:rFonts w:hint="eastAsia" w:ascii="宋体" w:hAnsi="宋体"/>
        </w:rPr>
        <w:t>附件</w:t>
      </w:r>
      <w:bookmarkStart w:id="177" w:name="_Toc1364"/>
      <w:bookmarkStart w:id="178" w:name="_Toc19095"/>
      <w:bookmarkStart w:id="179" w:name="_Toc205390450"/>
      <w:r>
        <w:rPr>
          <w:rFonts w:hint="eastAsia" w:ascii="宋体" w:hAnsi="宋体"/>
        </w:rPr>
        <w:t>三  证书样板</w:t>
      </w:r>
      <w:bookmarkEnd w:id="173"/>
      <w:bookmarkEnd w:id="174"/>
      <w:bookmarkEnd w:id="177"/>
      <w:bookmarkEnd w:id="178"/>
      <w:bookmarkEnd w:id="179"/>
    </w:p>
    <w:p w14:paraId="785BE188">
      <w:pPr>
        <w:ind w:firstLine="420"/>
        <w:rPr>
          <w:rFonts w:hint="eastAsia"/>
        </w:rPr>
      </w:pPr>
    </w:p>
    <w:bookmarkEnd w:id="175"/>
    <w:bookmarkEnd w:id="176"/>
    <w:p w14:paraId="77E8219A">
      <w:pPr>
        <w:ind w:firstLine="420"/>
        <w:rPr>
          <w:rFonts w:hint="eastAsia"/>
        </w:rPr>
      </w:pPr>
      <w:r>
        <w:rPr>
          <w:rFonts w:hint="eastAsia"/>
        </w:rPr>
        <w:drawing>
          <wp:inline distT="0" distB="0" distL="114300" distR="114300">
            <wp:extent cx="6000115" cy="8084820"/>
            <wp:effectExtent l="0" t="0" r="4445" b="7620"/>
            <wp:docPr id="7" name="图片 7" descr="999c29cad310220de091b6f048610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99c29cad310220de091b6f0486104c0"/>
                    <pic:cNvPicPr>
                      <a:picLocks noChangeAspect="1"/>
                    </pic:cNvPicPr>
                  </pic:nvPicPr>
                  <pic:blipFill>
                    <a:blip r:embed="rId48"/>
                    <a:stretch>
                      <a:fillRect/>
                    </a:stretch>
                  </pic:blipFill>
                  <pic:spPr>
                    <a:xfrm>
                      <a:off x="0" y="0"/>
                      <a:ext cx="6000115" cy="8084820"/>
                    </a:xfrm>
                    <a:prstGeom prst="rect">
                      <a:avLst/>
                    </a:prstGeom>
                  </pic:spPr>
                </pic:pic>
              </a:graphicData>
            </a:graphic>
          </wp:inline>
        </w:drawing>
      </w:r>
    </w:p>
    <w:p w14:paraId="1F5E133F">
      <w:pPr>
        <w:ind w:firstLine="422"/>
        <w:rPr>
          <w:rFonts w:cs="Microsoft Sans Serif"/>
          <w:b/>
          <w:bCs/>
          <w:szCs w:val="32"/>
        </w:rPr>
        <w:sectPr>
          <w:pgSz w:w="11911" w:h="16838"/>
          <w:pgMar w:top="851" w:right="851" w:bottom="851" w:left="851" w:header="57" w:footer="510" w:gutter="0"/>
          <w:cols w:space="0" w:num="1"/>
          <w:docGrid w:linePitch="286" w:charSpace="0"/>
        </w:sectPr>
      </w:pPr>
    </w:p>
    <w:p w14:paraId="77152CED">
      <w:pPr>
        <w:pStyle w:val="2"/>
        <w:rPr>
          <w:rFonts w:ascii="宋体" w:hAnsi="宋体"/>
        </w:rPr>
      </w:pPr>
      <w:bookmarkStart w:id="180" w:name="_Toc226880970"/>
      <w:bookmarkStart w:id="181" w:name="_Toc14177"/>
      <w:r>
        <w:rPr>
          <w:rFonts w:hint="eastAsia" w:ascii="宋体" w:hAnsi="宋体"/>
        </w:rPr>
        <w:t>附件</w:t>
      </w:r>
      <w:bookmarkStart w:id="182" w:name="_Toc205390452"/>
      <w:r>
        <w:rPr>
          <w:rFonts w:hint="eastAsia" w:ascii="宋体" w:hAnsi="宋体"/>
        </w:rPr>
        <w:t>四  机构标识</w:t>
      </w:r>
      <w:bookmarkEnd w:id="180"/>
      <w:bookmarkEnd w:id="181"/>
      <w:bookmarkEnd w:id="182"/>
    </w:p>
    <w:p w14:paraId="02698686">
      <w:pPr>
        <w:ind w:firstLine="420"/>
        <w:jc w:val="center"/>
        <w:rPr>
          <w:rFonts w:hint="eastAsia"/>
        </w:rPr>
      </w:pPr>
    </w:p>
    <w:p w14:paraId="255A7110">
      <w:pPr>
        <w:ind w:firstLine="420"/>
        <w:jc w:val="center"/>
        <w:rPr>
          <w:rFonts w:hint="eastAsia"/>
        </w:rPr>
      </w:pPr>
    </w:p>
    <w:p w14:paraId="19B03701">
      <w:pPr>
        <w:ind w:firstLine="420"/>
        <w:jc w:val="center"/>
        <w:rPr>
          <w:rFonts w:hint="eastAsia"/>
        </w:rPr>
      </w:pPr>
    </w:p>
    <w:p w14:paraId="183AD0B9">
      <w:pPr>
        <w:ind w:firstLine="420"/>
        <w:jc w:val="center"/>
        <w:rPr>
          <w:rFonts w:hint="eastAsia"/>
        </w:rPr>
      </w:pPr>
      <w:r>
        <w:drawing>
          <wp:inline distT="0" distB="0" distL="0" distR="0">
            <wp:extent cx="2959735" cy="2879725"/>
            <wp:effectExtent l="0" t="0" r="12065" b="635"/>
            <wp:docPr id="4893444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44418" name="图片 5"/>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959735" cy="2879725"/>
                    </a:xfrm>
                    <a:prstGeom prst="rect">
                      <a:avLst/>
                    </a:prstGeom>
                    <a:noFill/>
                    <a:ln>
                      <a:noFill/>
                    </a:ln>
                  </pic:spPr>
                </pic:pic>
              </a:graphicData>
            </a:graphic>
          </wp:inline>
        </w:drawing>
      </w:r>
    </w:p>
    <w:p w14:paraId="2365F4E4">
      <w:pPr>
        <w:pStyle w:val="5"/>
        <w:ind w:left="0" w:firstLine="0" w:firstLineChars="0"/>
        <w:rPr>
          <w:rFonts w:hint="eastAsia"/>
          <w:sz w:val="18"/>
        </w:rPr>
      </w:pPr>
    </w:p>
    <w:sectPr>
      <w:pgSz w:w="11911" w:h="16838"/>
      <w:pgMar w:top="851" w:right="851" w:bottom="851" w:left="851" w:header="113" w:footer="510" w:gutter="0"/>
      <w:cols w:space="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Sans Serif">
    <w:panose1 w:val="020B0604020202020204"/>
    <w:charset w:val="00"/>
    <w:family w:val="swiss"/>
    <w:pitch w:val="default"/>
    <w:sig w:usb0="E5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B963E">
    <w:pPr>
      <w:pStyle w:val="7"/>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4FEA7">
    <w:pPr>
      <w:pStyle w:val="7"/>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F1C64">
    <w:pPr>
      <w:pStyle w:val="7"/>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EEB6D">
    <w:pPr>
      <w:pStyle w:val="7"/>
      <w:ind w:firstLine="360"/>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509A7">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25F509A7">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4B7F4">
    <w:pPr>
      <w:pStyle w:val="7"/>
      <w:ind w:firstLine="360"/>
      <w:rPr>
        <w:rFonts w:hint="eastAsia"/>
      </w:rPr>
    </w:pPr>
    <w:r>
      <mc:AlternateContent>
        <mc:Choice Requires="wps">
          <w:drawing>
            <wp:anchor distT="0" distB="0" distL="114300" distR="114300" simplePos="0" relativeHeight="251669504" behindDoc="0" locked="0" layoutInCell="1" allowOverlap="1">
              <wp:simplePos x="0" y="0"/>
              <wp:positionH relativeFrom="margin">
                <wp:posOffset>2921635</wp:posOffset>
              </wp:positionH>
              <wp:positionV relativeFrom="paragraph">
                <wp:posOffset>40005</wp:posOffset>
              </wp:positionV>
              <wp:extent cx="1177925" cy="620395"/>
              <wp:effectExtent l="0" t="0" r="3810" b="8255"/>
              <wp:wrapNone/>
              <wp:docPr id="6" name="文本框 6"/>
              <wp:cNvGraphicFramePr/>
              <a:graphic xmlns:a="http://schemas.openxmlformats.org/drawingml/2006/main">
                <a:graphicData uri="http://schemas.microsoft.com/office/word/2010/wordprocessingShape">
                  <wps:wsp>
                    <wps:cNvSpPr txBox="1"/>
                    <wps:spPr>
                      <a:xfrm>
                        <a:off x="0" y="0"/>
                        <a:ext cx="1177713" cy="62060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26199">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30.05pt;margin-top:3.15pt;height:48.85pt;width:92.75pt;mso-position-horizontal-relative:margin;z-index:251669504;mso-width-relative:page;mso-height-relative:page;" filled="f" stroked="f" coordsize="21600,21600" o:gfxdata="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ORWSm1wAAAAkBAAAPAAAAAAAAAAEAIAAAACIAAABkcnMvZG93bnJldi54bWxQ&#10;SwECFAAUAAAACACHTuJA0k1xFDECAABWBAAADgAAAAAAAAABACAAAAAmAQAAZHJzL2Uyb0RvYy54&#10;bWxQSwUGAAAAAAYABgBZAQAAyQUAAAAA&#10;">
              <v:fill on="f" focussize="0,0"/>
              <v:stroke on="f" weight="0.5pt"/>
              <v:imagedata o:title=""/>
              <o:lock v:ext="edit" aspectratio="f"/>
              <v:textbox inset="0mm,0mm,0mm,0mm">
                <w:txbxContent>
                  <w:p w14:paraId="00126199">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9DE30">
    <w:pPr>
      <w:pStyle w:val="5"/>
      <w:spacing w:line="14" w:lineRule="auto"/>
      <w:ind w:left="0" w:firstLine="400"/>
      <w:rPr>
        <w:rFonts w:hint="eastAsia"/>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74750" cy="230505"/>
              <wp:effectExtent l="0" t="0" r="6350" b="0"/>
              <wp:wrapNone/>
              <wp:docPr id="3" name="文本框 3"/>
              <wp:cNvGraphicFramePr/>
              <a:graphic xmlns:a="http://schemas.openxmlformats.org/drawingml/2006/main">
                <a:graphicData uri="http://schemas.microsoft.com/office/word/2010/wordprocessingShape">
                  <wps:wsp>
                    <wps:cNvSpPr txBox="1"/>
                    <wps:spPr>
                      <a:xfrm>
                        <a:off x="0" y="0"/>
                        <a:ext cx="1174750" cy="230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B0F2D">
                          <w:pPr>
                            <w:pStyle w:val="7"/>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20</w:t>
                          </w:r>
                          <w:r>
                            <w:rPr>
                              <w:rFonts w:hint="eastAsia"/>
                            </w:rPr>
                            <w:fldChar w:fldCharType="end"/>
                          </w:r>
                          <w:r>
                            <w:rPr>
                              <w:rFonts w:hint="eastAsia"/>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8.15pt;width:92.5pt;mso-position-horizontal:center;mso-position-horizontal-relative:margin;z-index:251662336;mso-width-relative:page;mso-height-relative:page;" filled="f" stroked="f" coordsize="21600,21600" o:gfxdata="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Zd6r9MAAAAEAQAADwAAAAAAAAABACAAAAAiAAAAZHJzL2Rvd25yZXYueG1sUEsBAhQA&#10;FAAAAAgAh07iQBLU0SwwAgAAVgQAAA4AAAAAAAAAAQAgAAAAIgEAAGRycy9lMm9Eb2MueG1sUEsF&#10;BgAAAAAGAAYAWQEAAMQFAAAAAA==&#10;">
              <v:fill on="f" focussize="0,0"/>
              <v:stroke on="f" weight="0.5pt"/>
              <v:imagedata o:title=""/>
              <o:lock v:ext="edit" aspectratio="f"/>
              <v:textbox inset="0mm,0mm,0mm,0mm">
                <w:txbxContent>
                  <w:p w14:paraId="3DDB0F2D">
                    <w:pPr>
                      <w:pStyle w:val="7"/>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20</w:t>
                    </w:r>
                    <w:r>
                      <w:rPr>
                        <w:rFonts w:hint="eastAsia"/>
                      </w:rP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5C646">
    <w:pPr>
      <w:pStyle w:val="8"/>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9D03F">
    <w:pPr>
      <w:pStyle w:val="8"/>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932E">
    <w:pPr>
      <w:pStyle w:val="8"/>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DF539">
    <w:pPr>
      <w:pStyle w:val="8"/>
      <w:pBdr>
        <w:bottom w:val="single" w:color="auto" w:sz="4" w:space="0"/>
      </w:pBdr>
      <w:spacing w:line="240" w:lineRule="atLeast"/>
      <w:ind w:firstLine="562"/>
      <w:jc w:val="left"/>
      <w:rPr>
        <w:rFonts w:hint="eastAsia"/>
        <w:u w:val="double"/>
      </w:rPr>
    </w:pPr>
    <w:r>
      <w:rPr>
        <w:rFonts w:hint="eastAsia"/>
        <w:b/>
        <w:sz w:val="28"/>
        <w:szCs w:val="28"/>
      </w:rPr>
      <w:drawing>
        <wp:anchor distT="0" distB="0" distL="114300" distR="114300" simplePos="0" relativeHeight="251659264" behindDoc="0" locked="0" layoutInCell="1" allowOverlap="1">
          <wp:simplePos x="0" y="0"/>
          <wp:positionH relativeFrom="column">
            <wp:posOffset>64770</wp:posOffset>
          </wp:positionH>
          <wp:positionV relativeFrom="paragraph">
            <wp:posOffset>109855</wp:posOffset>
          </wp:positionV>
          <wp:extent cx="368300" cy="334010"/>
          <wp:effectExtent l="0" t="0" r="0" b="9525"/>
          <wp:wrapNone/>
          <wp:docPr id="88306366" name="图片 4" descr="168636557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6366" name="图片 4" descr="1686365572570"/>
                  <pic:cNvPicPr>
                    <a:picLocks noChangeAspect="1"/>
                  </pic:cNvPicPr>
                </pic:nvPicPr>
                <pic:blipFill>
                  <a:blip r:embed="rId1"/>
                  <a:stretch>
                    <a:fillRect/>
                  </a:stretch>
                </pic:blipFill>
                <pic:spPr>
                  <a:xfrm>
                    <a:off x="0" y="0"/>
                    <a:ext cx="368300" cy="333875"/>
                  </a:xfrm>
                  <a:prstGeom prst="rect">
                    <a:avLst/>
                  </a:prstGeom>
                  <a:noFill/>
                  <a:ln>
                    <a:noFill/>
                  </a:ln>
                </pic:spPr>
              </pic:pic>
            </a:graphicData>
          </a:graphic>
        </wp:anchor>
      </w:drawing>
    </w:r>
  </w:p>
  <w:p w14:paraId="16C561E1">
    <w:pPr>
      <w:pStyle w:val="8"/>
      <w:pBdr>
        <w:bottom w:val="single" w:color="auto" w:sz="4" w:space="0"/>
      </w:pBdr>
      <w:spacing w:line="240" w:lineRule="atLeast"/>
      <w:ind w:firstLine="360"/>
      <w:jc w:val="left"/>
      <w:rPr>
        <w:rFonts w:hint="eastAsia"/>
        <w:u w:val="double"/>
      </w:rPr>
    </w:pPr>
  </w:p>
  <w:p w14:paraId="2D48A3DF">
    <w:pPr>
      <w:pStyle w:val="8"/>
      <w:pBdr>
        <w:bottom w:val="single" w:color="auto" w:sz="4" w:space="0"/>
      </w:pBdr>
      <w:spacing w:line="240" w:lineRule="atLeast"/>
      <w:ind w:firstLine="1440" w:firstLineChars="800"/>
      <w:jc w:val="left"/>
      <w:rPr>
        <w:rFonts w:hint="eastAsia"/>
        <w:u w:val="double"/>
      </w:rPr>
    </w:pPr>
    <w:r>
      <w:rPr>
        <w:rFonts w:hint="eastAsia"/>
      </w:rPr>
      <w:t xml:space="preserve">富利汇认证（宁夏）有限公司                                             企业诚信管理体系认证规则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3D67">
    <w:pPr>
      <w:pStyle w:val="8"/>
      <w:pBdr>
        <w:bottom w:val="single" w:color="auto" w:sz="4" w:space="0"/>
      </w:pBdr>
      <w:spacing w:line="240" w:lineRule="atLeast"/>
      <w:ind w:firstLine="562"/>
      <w:jc w:val="left"/>
      <w:rPr>
        <w:rFonts w:hint="eastAsia"/>
        <w:u w:val="double"/>
      </w:rPr>
    </w:pPr>
    <w:r>
      <w:rPr>
        <w:rFonts w:hint="eastAsia"/>
        <w:b/>
        <w:sz w:val="28"/>
        <w:szCs w:val="28"/>
      </w:rPr>
      <w:drawing>
        <wp:anchor distT="0" distB="0" distL="114300" distR="114300" simplePos="0" relativeHeight="251660288" behindDoc="0" locked="0" layoutInCell="1" allowOverlap="1">
          <wp:simplePos x="0" y="0"/>
          <wp:positionH relativeFrom="column">
            <wp:posOffset>22225</wp:posOffset>
          </wp:positionH>
          <wp:positionV relativeFrom="page">
            <wp:posOffset>81915</wp:posOffset>
          </wp:positionV>
          <wp:extent cx="462280" cy="419100"/>
          <wp:effectExtent l="0" t="0" r="0" b="0"/>
          <wp:wrapNone/>
          <wp:docPr id="1205618357" name="图片 1205618357" descr="168636557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8357" name="图片 1205618357" descr="1686365572570"/>
                  <pic:cNvPicPr>
                    <a:picLocks noChangeAspect="1"/>
                  </pic:cNvPicPr>
                </pic:nvPicPr>
                <pic:blipFill>
                  <a:blip r:embed="rId1"/>
                  <a:stretch>
                    <a:fillRect/>
                  </a:stretch>
                </pic:blipFill>
                <pic:spPr>
                  <a:xfrm>
                    <a:off x="0" y="0"/>
                    <a:ext cx="462312" cy="419100"/>
                  </a:xfrm>
                  <a:prstGeom prst="rect">
                    <a:avLst/>
                  </a:prstGeom>
                  <a:noFill/>
                  <a:ln>
                    <a:noFill/>
                  </a:ln>
                </pic:spPr>
              </pic:pic>
            </a:graphicData>
          </a:graphic>
        </wp:anchor>
      </w:drawing>
    </w:r>
  </w:p>
  <w:p w14:paraId="760E50E9">
    <w:pPr>
      <w:pStyle w:val="8"/>
      <w:pBdr>
        <w:bottom w:val="single" w:color="auto" w:sz="4" w:space="0"/>
      </w:pBdr>
      <w:spacing w:line="240" w:lineRule="atLeast"/>
      <w:ind w:firstLine="1800" w:firstLineChars="1000"/>
      <w:jc w:val="left"/>
      <w:rPr>
        <w:rFonts w:hint="eastAsia"/>
      </w:rPr>
    </w:pPr>
    <w:r>
      <w:rPr>
        <w:rFonts w:hint="eastAsia"/>
      </w:rPr>
      <w:t>富利汇认证（宁夏）有限公司                                           企业诚信管理体系认证规则</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D0B5">
    <w:pPr>
      <w:pStyle w:val="8"/>
      <w:pBdr>
        <w:bottom w:val="single" w:color="auto" w:sz="4" w:space="0"/>
      </w:pBdr>
      <w:spacing w:line="240" w:lineRule="atLeast"/>
      <w:ind w:firstLine="562"/>
      <w:jc w:val="left"/>
      <w:rPr>
        <w:rFonts w:hint="eastAsia"/>
        <w:u w:val="double"/>
      </w:rPr>
    </w:pPr>
    <w:r>
      <w:rPr>
        <w:rFonts w:hint="eastAsia"/>
        <w:b/>
        <w:sz w:val="28"/>
        <w:szCs w:val="28"/>
      </w:rPr>
      <w:drawing>
        <wp:anchor distT="0" distB="0" distL="114300" distR="114300" simplePos="0" relativeHeight="251661312" behindDoc="0" locked="0" layoutInCell="1" allowOverlap="1">
          <wp:simplePos x="0" y="0"/>
          <wp:positionH relativeFrom="column">
            <wp:posOffset>86360</wp:posOffset>
          </wp:positionH>
          <wp:positionV relativeFrom="paragraph">
            <wp:posOffset>-15875</wp:posOffset>
          </wp:positionV>
          <wp:extent cx="495935" cy="449580"/>
          <wp:effectExtent l="0" t="0" r="0" b="7620"/>
          <wp:wrapNone/>
          <wp:docPr id="1076322749" name="图片 4" descr="168636557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22749" name="图片 4" descr="1686365572570"/>
                  <pic:cNvPicPr>
                    <a:picLocks noChangeAspect="1"/>
                  </pic:cNvPicPr>
                </pic:nvPicPr>
                <pic:blipFill>
                  <a:blip r:embed="rId1"/>
                  <a:stretch>
                    <a:fillRect/>
                  </a:stretch>
                </pic:blipFill>
                <pic:spPr>
                  <a:xfrm>
                    <a:off x="0" y="0"/>
                    <a:ext cx="495935" cy="449580"/>
                  </a:xfrm>
                  <a:prstGeom prst="rect">
                    <a:avLst/>
                  </a:prstGeom>
                  <a:noFill/>
                  <a:ln>
                    <a:noFill/>
                  </a:ln>
                </pic:spPr>
              </pic:pic>
            </a:graphicData>
          </a:graphic>
        </wp:anchor>
      </w:drawing>
    </w:r>
  </w:p>
  <w:p w14:paraId="5B729AE6">
    <w:pPr>
      <w:pStyle w:val="8"/>
      <w:pBdr>
        <w:bottom w:val="single" w:color="auto" w:sz="4" w:space="0"/>
      </w:pBdr>
      <w:spacing w:line="240" w:lineRule="atLeast"/>
      <w:ind w:firstLine="360"/>
      <w:jc w:val="left"/>
      <w:rPr>
        <w:rFonts w:hint="eastAsia"/>
        <w:u w:val="double"/>
      </w:rPr>
    </w:pPr>
  </w:p>
  <w:p w14:paraId="56AD602A">
    <w:pPr>
      <w:pStyle w:val="8"/>
      <w:pBdr>
        <w:bottom w:val="single" w:color="auto" w:sz="4" w:space="0"/>
      </w:pBdr>
      <w:spacing w:line="240" w:lineRule="atLeast"/>
      <w:ind w:firstLine="1440" w:firstLineChars="800"/>
      <w:jc w:val="left"/>
      <w:rPr>
        <w:rFonts w:hint="eastAsia"/>
      </w:rPr>
    </w:pPr>
    <w:r>
      <w:rPr>
        <w:rFonts w:hint="eastAsia"/>
      </w:rPr>
      <w:t>富利汇认证（宁夏）有限公司                                             企业诚信管理体系认证规则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5F992"/>
    <w:multiLevelType w:val="multilevel"/>
    <w:tmpl w:val="2075F992"/>
    <w:lvl w:ilvl="0" w:tentative="0">
      <w:start w:val="1"/>
      <w:numFmt w:val="decimal"/>
      <w:suff w:val="space"/>
      <w:lvlText w:val="%1"/>
      <w:lvlJc w:val="left"/>
      <w:pPr>
        <w:ind w:left="440" w:hanging="440"/>
      </w:pPr>
      <w:rPr>
        <w:rFonts w:hint="eastAsia"/>
      </w:rPr>
    </w:lvl>
    <w:lvl w:ilvl="1" w:tentative="0">
      <w:start w:val="1"/>
      <w:numFmt w:val="decimal"/>
      <w:pStyle w:val="16"/>
      <w:isLgl/>
      <w:suff w:val="space"/>
      <w:lvlText w:val="%1.%2"/>
      <w:lvlJc w:val="left"/>
      <w:pPr>
        <w:ind w:left="0" w:firstLine="227"/>
      </w:pPr>
      <w:rPr>
        <w:rFonts w:hint="default"/>
        <w:b w:val="0"/>
        <w:bCs w:val="0"/>
        <w:sz w:val="21"/>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
    <w:nsid w:val="21295268"/>
    <w:multiLevelType w:val="multilevel"/>
    <w:tmpl w:val="21295268"/>
    <w:lvl w:ilvl="0" w:tentative="0">
      <w:start w:val="1"/>
      <w:numFmt w:val="decimal"/>
      <w:suff w:val="nothing"/>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documentProtection w:enforcement="0"/>
  <w:defaultTabStop w:val="719"/>
  <w:drawingGridHorizontalSpacing w:val="210"/>
  <w:drawingGridVerticalSpacing w:val="-7946"/>
  <w:characterSpacingControl w:val="doNotCompress"/>
  <w:footnotePr>
    <w:footnote w:id="0"/>
    <w:footnote w:id="1"/>
  </w:footnotePr>
  <w:endnotePr>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C8"/>
    <w:rsid w:val="0004589F"/>
    <w:rsid w:val="00072C89"/>
    <w:rsid w:val="00193E2B"/>
    <w:rsid w:val="001B327F"/>
    <w:rsid w:val="001C4A50"/>
    <w:rsid w:val="001E4D96"/>
    <w:rsid w:val="00201336"/>
    <w:rsid w:val="00235B22"/>
    <w:rsid w:val="00261DA0"/>
    <w:rsid w:val="0027595D"/>
    <w:rsid w:val="002A03DB"/>
    <w:rsid w:val="002E5398"/>
    <w:rsid w:val="002E5487"/>
    <w:rsid w:val="003F5EDF"/>
    <w:rsid w:val="00407D0B"/>
    <w:rsid w:val="0058572F"/>
    <w:rsid w:val="00615F34"/>
    <w:rsid w:val="006508FA"/>
    <w:rsid w:val="00672CDC"/>
    <w:rsid w:val="006E76C8"/>
    <w:rsid w:val="007A628E"/>
    <w:rsid w:val="00813E13"/>
    <w:rsid w:val="008B4144"/>
    <w:rsid w:val="008F78FC"/>
    <w:rsid w:val="00905E92"/>
    <w:rsid w:val="00942CA8"/>
    <w:rsid w:val="0096054D"/>
    <w:rsid w:val="00967121"/>
    <w:rsid w:val="009804E1"/>
    <w:rsid w:val="009846EF"/>
    <w:rsid w:val="00AA5356"/>
    <w:rsid w:val="00AD4A10"/>
    <w:rsid w:val="00B0261C"/>
    <w:rsid w:val="00B36511"/>
    <w:rsid w:val="00B97963"/>
    <w:rsid w:val="00BA696A"/>
    <w:rsid w:val="00BB6823"/>
    <w:rsid w:val="00CA505F"/>
    <w:rsid w:val="00CB7DFB"/>
    <w:rsid w:val="00D93241"/>
    <w:rsid w:val="00DC3B70"/>
    <w:rsid w:val="00E64DEA"/>
    <w:rsid w:val="00F235D4"/>
    <w:rsid w:val="00F749BB"/>
    <w:rsid w:val="00F81FD4"/>
    <w:rsid w:val="01B15286"/>
    <w:rsid w:val="01C06EC1"/>
    <w:rsid w:val="026B4A66"/>
    <w:rsid w:val="051379D8"/>
    <w:rsid w:val="05A127AD"/>
    <w:rsid w:val="061003F0"/>
    <w:rsid w:val="0A4C36EF"/>
    <w:rsid w:val="0ADA341F"/>
    <w:rsid w:val="0AED1FCA"/>
    <w:rsid w:val="0BE61D6A"/>
    <w:rsid w:val="13792CB3"/>
    <w:rsid w:val="1AE259D8"/>
    <w:rsid w:val="24897B3B"/>
    <w:rsid w:val="264D4D16"/>
    <w:rsid w:val="293B2E83"/>
    <w:rsid w:val="2CB618C5"/>
    <w:rsid w:val="380A6843"/>
    <w:rsid w:val="3AA06FEA"/>
    <w:rsid w:val="40E85F70"/>
    <w:rsid w:val="430B7913"/>
    <w:rsid w:val="461245A8"/>
    <w:rsid w:val="47F73F7B"/>
    <w:rsid w:val="50F6575E"/>
    <w:rsid w:val="512027DB"/>
    <w:rsid w:val="57866724"/>
    <w:rsid w:val="58ED06B7"/>
    <w:rsid w:val="65171DEE"/>
    <w:rsid w:val="69C31660"/>
    <w:rsid w:val="6A072332"/>
    <w:rsid w:val="6DA560EA"/>
    <w:rsid w:val="71611EB2"/>
    <w:rsid w:val="73AF7CC3"/>
    <w:rsid w:val="7C61440C"/>
    <w:rsid w:val="7D862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200" w:firstLineChars="200"/>
      <w:jc w:val="both"/>
    </w:pPr>
    <w:rPr>
      <w:rFonts w:ascii="宋体" w:hAnsi="宋体" w:eastAsia="宋体" w:cs="宋体"/>
      <w:sz w:val="21"/>
      <w:szCs w:val="22"/>
      <w:lang w:val="en-US" w:eastAsia="zh-CN" w:bidi="ar-SA"/>
    </w:rPr>
  </w:style>
  <w:style w:type="paragraph" w:styleId="2">
    <w:name w:val="heading 1"/>
    <w:basedOn w:val="1"/>
    <w:next w:val="1"/>
    <w:qFormat/>
    <w:uiPriority w:val="9"/>
    <w:pPr>
      <w:ind w:firstLine="0" w:firstLineChars="0"/>
      <w:outlineLvl w:val="0"/>
    </w:pPr>
    <w:rPr>
      <w:rFonts w:ascii="Times New Roman" w:hAnsi="Times New Roman" w:cs="Microsoft Sans Serif"/>
      <w:b/>
      <w:sz w:val="24"/>
      <w:szCs w:val="32"/>
    </w:rPr>
  </w:style>
  <w:style w:type="paragraph" w:styleId="3">
    <w:name w:val="heading 2"/>
    <w:basedOn w:val="1"/>
    <w:unhideWhenUsed/>
    <w:qFormat/>
    <w:uiPriority w:val="9"/>
    <w:pPr>
      <w:ind w:right="91"/>
      <w:jc w:val="center"/>
      <w:outlineLvl w:val="1"/>
    </w:pPr>
    <w:rPr>
      <w:sz w:val="28"/>
      <w:szCs w:val="28"/>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Body Text"/>
    <w:basedOn w:val="1"/>
    <w:link w:val="20"/>
    <w:qFormat/>
    <w:uiPriority w:val="1"/>
    <w:pPr>
      <w:ind w:left="165"/>
    </w:pPr>
    <w:rPr>
      <w:szCs w:val="21"/>
    </w:rPr>
  </w:style>
  <w:style w:type="paragraph" w:styleId="6">
    <w:name w:val="toc 3"/>
    <w:basedOn w:val="1"/>
    <w:next w:val="1"/>
    <w:autoRedefine/>
    <w:unhideWhenUsed/>
    <w:qFormat/>
    <w:uiPriority w:val="39"/>
    <w:pPr>
      <w:ind w:left="840" w:leftChars="400"/>
    </w:pPr>
  </w:style>
  <w:style w:type="paragraph" w:styleId="7">
    <w:name w:val="footer"/>
    <w:basedOn w:val="1"/>
    <w:link w:val="19"/>
    <w:unhideWhenUsed/>
    <w:qFormat/>
    <w:uiPriority w:val="99"/>
    <w:pPr>
      <w:tabs>
        <w:tab w:val="center" w:pos="4153"/>
        <w:tab w:val="right" w:pos="8306"/>
      </w:tabs>
      <w:snapToGrid w:val="0"/>
    </w:pPr>
    <w:rPr>
      <w:sz w:val="18"/>
      <w:szCs w:val="18"/>
    </w:rPr>
  </w:style>
  <w:style w:type="paragraph" w:styleId="8">
    <w:name w:val="header"/>
    <w:basedOn w:val="1"/>
    <w:link w:val="18"/>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toc 2"/>
    <w:basedOn w:val="1"/>
    <w:next w:val="1"/>
    <w:autoRedefine/>
    <w:unhideWhenUsed/>
    <w:qFormat/>
    <w:uiPriority w:val="39"/>
    <w:pPr>
      <w:tabs>
        <w:tab w:val="left" w:pos="1320"/>
        <w:tab w:val="right" w:leader="dot" w:pos="8296"/>
      </w:tabs>
      <w:ind w:firstLine="482"/>
      <w:jc w:val="center"/>
    </w:pPr>
    <w:rPr>
      <w:b/>
      <w:bCs/>
      <w:sz w:val="24"/>
      <w:szCs w:val="28"/>
    </w:rPr>
  </w:style>
  <w:style w:type="paragraph" w:styleId="11">
    <w:name w:val="Title"/>
    <w:basedOn w:val="1"/>
    <w:qFormat/>
    <w:uiPriority w:val="10"/>
    <w:pPr>
      <w:spacing w:before="14"/>
      <w:ind w:right="94"/>
      <w:jc w:val="center"/>
    </w:pPr>
    <w:rPr>
      <w:sz w:val="72"/>
      <w:szCs w:val="72"/>
    </w:r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table" w:customStyle="1" w:styleId="15">
    <w:name w:val="Table Normal"/>
    <w:semiHidden/>
    <w:unhideWhenUsed/>
    <w:qFormat/>
    <w:uiPriority w:val="2"/>
    <w:tblPr>
      <w:tblCellMar>
        <w:top w:w="0" w:type="dxa"/>
        <w:left w:w="0" w:type="dxa"/>
        <w:bottom w:w="0" w:type="dxa"/>
        <w:right w:w="0" w:type="dxa"/>
      </w:tblCellMar>
    </w:tblPr>
  </w:style>
  <w:style w:type="paragraph" w:styleId="16">
    <w:name w:val="List Paragraph"/>
    <w:basedOn w:val="1"/>
    <w:link w:val="22"/>
    <w:autoRedefine/>
    <w:qFormat/>
    <w:uiPriority w:val="34"/>
    <w:pPr>
      <w:numPr>
        <w:ilvl w:val="1"/>
        <w:numId w:val="1"/>
      </w:numPr>
      <w:ind w:firstLine="0" w:firstLineChars="0"/>
      <w:contextualSpacing/>
      <w:outlineLvl w:val="2"/>
    </w:pPr>
  </w:style>
  <w:style w:type="paragraph" w:customStyle="1" w:styleId="17">
    <w:name w:val="Table Paragraph"/>
    <w:basedOn w:val="1"/>
    <w:qFormat/>
    <w:uiPriority w:val="1"/>
    <w:pPr>
      <w:spacing w:line="291" w:lineRule="exact"/>
      <w:ind w:left="18"/>
      <w:jc w:val="center"/>
    </w:pPr>
  </w:style>
  <w:style w:type="character" w:customStyle="1" w:styleId="18">
    <w:name w:val="页眉 字符"/>
    <w:basedOn w:val="13"/>
    <w:link w:val="8"/>
    <w:qFormat/>
    <w:uiPriority w:val="99"/>
    <w:rPr>
      <w:rFonts w:ascii="宋体" w:hAnsi="宋体" w:eastAsia="宋体" w:cs="宋体"/>
      <w:sz w:val="18"/>
      <w:szCs w:val="18"/>
      <w:lang w:eastAsia="zh-CN"/>
    </w:rPr>
  </w:style>
  <w:style w:type="character" w:customStyle="1" w:styleId="19">
    <w:name w:val="页脚 字符"/>
    <w:basedOn w:val="13"/>
    <w:link w:val="7"/>
    <w:qFormat/>
    <w:uiPriority w:val="99"/>
    <w:rPr>
      <w:rFonts w:ascii="宋体" w:hAnsi="宋体" w:eastAsia="宋体" w:cs="宋体"/>
      <w:sz w:val="18"/>
      <w:szCs w:val="18"/>
      <w:lang w:eastAsia="zh-CN"/>
    </w:rPr>
  </w:style>
  <w:style w:type="character" w:customStyle="1" w:styleId="20">
    <w:name w:val="正文文本 字符"/>
    <w:basedOn w:val="13"/>
    <w:link w:val="5"/>
    <w:qFormat/>
    <w:uiPriority w:val="1"/>
    <w:rPr>
      <w:rFonts w:ascii="宋体" w:hAnsi="宋体" w:eastAsia="宋体" w:cs="宋体"/>
      <w:sz w:val="21"/>
      <w:szCs w:val="21"/>
      <w:lang w:eastAsia="zh-CN"/>
    </w:rPr>
  </w:style>
  <w:style w:type="paragraph" w:customStyle="1" w:styleId="21">
    <w:name w:val="样式1"/>
    <w:basedOn w:val="16"/>
    <w:next w:val="1"/>
    <w:link w:val="23"/>
    <w:autoRedefine/>
    <w:qFormat/>
    <w:uiPriority w:val="0"/>
    <w:pPr>
      <w:numPr>
        <w:ilvl w:val="0"/>
        <w:numId w:val="0"/>
      </w:numPr>
      <w:ind w:firstLine="420" w:firstLineChars="200"/>
      <w:outlineLvl w:val="9"/>
    </w:pPr>
  </w:style>
  <w:style w:type="character" w:customStyle="1" w:styleId="22">
    <w:name w:val="列表段落 字符"/>
    <w:basedOn w:val="13"/>
    <w:link w:val="16"/>
    <w:qFormat/>
    <w:uiPriority w:val="1"/>
    <w:rPr>
      <w:rFonts w:ascii="宋体" w:hAnsi="宋体" w:eastAsia="宋体" w:cs="宋体"/>
      <w:sz w:val="21"/>
      <w:lang w:eastAsia="zh-CN"/>
    </w:rPr>
  </w:style>
  <w:style w:type="character" w:customStyle="1" w:styleId="23">
    <w:name w:val="样式1 字符"/>
    <w:basedOn w:val="22"/>
    <w:link w:val="21"/>
    <w:qFormat/>
    <w:uiPriority w:val="0"/>
    <w:rPr>
      <w:rFonts w:ascii="宋体" w:hAnsi="宋体" w:eastAsia="宋体" w:cs="宋体"/>
      <w:sz w:val="21"/>
      <w:lang w:eastAsia="zh-CN"/>
    </w:rPr>
  </w:style>
  <w:style w:type="paragraph" w:customStyle="1" w:styleId="24">
    <w:name w:val="TOC 标题1"/>
    <w:basedOn w:val="2"/>
    <w:next w:val="1"/>
    <w:unhideWhenUsed/>
    <w:qFormat/>
    <w:uiPriority w:val="39"/>
    <w:pPr>
      <w:keepNext/>
      <w:keepLines/>
      <w:widowControl/>
      <w:autoSpaceDE/>
      <w:autoSpaceDN/>
      <w:spacing w:before="240" w:line="259" w:lineRule="auto"/>
      <w:jc w:val="left"/>
      <w:outlineLvl w:val="9"/>
    </w:pPr>
    <w:rPr>
      <w:rFonts w:asciiTheme="majorHAnsi" w:hAnsiTheme="majorHAnsi" w:eastAsiaTheme="majorEastAsia" w:cstheme="majorBidi"/>
      <w:b w:val="0"/>
      <w:color w:val="376092" w:themeColor="accent1" w:themeShade="BF"/>
      <w:sz w:val="32"/>
    </w:rPr>
  </w:style>
  <w:style w:type="character" w:customStyle="1" w:styleId="25">
    <w:name w:val="标题 3 字符"/>
    <w:basedOn w:val="13"/>
    <w:link w:val="4"/>
    <w:qFormat/>
    <w:uiPriority w:val="9"/>
    <w:rPr>
      <w:rFonts w:ascii="宋体" w:hAnsi="宋体" w:eastAsia="宋体" w:cs="宋体"/>
      <w:b/>
      <w:bCs/>
      <w:sz w:val="32"/>
      <w:szCs w:val="32"/>
    </w:rPr>
  </w:style>
  <w:style w:type="paragraph" w:customStyle="1" w:styleId="26">
    <w:name w:val="标题2"/>
    <w:qFormat/>
    <w:uiPriority w:val="0"/>
    <w:pPr>
      <w:keepNext/>
      <w:keepLines/>
      <w:widowControl w:val="0"/>
      <w:spacing w:line="312" w:lineRule="auto"/>
      <w:ind w:firstLine="200" w:firstLineChars="200"/>
      <w:jc w:val="both"/>
      <w:outlineLvl w:val="1"/>
    </w:pPr>
    <w:rPr>
      <w:rFonts w:ascii="宋体" w:hAnsi="宋体" w:eastAsia="宋体" w:cs="Times New Roman"/>
      <w:b/>
      <w:kern w:val="44"/>
      <w:sz w:val="21"/>
      <w:lang w:val="en-US" w:eastAsia="zh-CN" w:bidi="ar-SA"/>
    </w:rPr>
  </w:style>
  <w:style w:type="paragraph" w:customStyle="1" w:styleId="27">
    <w:name w:val="Table Text"/>
    <w:semiHidden/>
    <w:qFormat/>
    <w:uiPriority w:val="0"/>
    <w:pPr>
      <w:kinsoku w:val="0"/>
      <w:autoSpaceDE w:val="0"/>
      <w:autoSpaceDN w:val="0"/>
      <w:adjustRightInd w:val="0"/>
      <w:snapToGrid w:val="0"/>
      <w:spacing w:after="160"/>
      <w:textAlignment w:val="baseline"/>
    </w:pPr>
    <w:rPr>
      <w:rFonts w:ascii="仿宋" w:hAnsi="仿宋" w:eastAsia="仿宋" w:cs="仿宋"/>
      <w:snapToGrid w:val="0"/>
      <w:color w:val="000000"/>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endnotes" Target="endnotes.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FB6826-5DB2-4AD6-8240-9D644B47AA4C}">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45</Pages>
  <Words>16138</Words>
  <Characters>17960</Characters>
  <Lines>641</Lines>
  <Paragraphs>760</Paragraphs>
  <TotalTime>0</TotalTime>
  <ScaleCrop>false</ScaleCrop>
  <LinksUpToDate>false</LinksUpToDate>
  <CharactersWithSpaces>18819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2026-04-12T06:47:00Z</dcterms:created>
  <dc:creator>张小娟</dc:creator>
  <cp:lastModifiedBy>花开花落</cp:lastModifiedBy>
  <cp:lastPrinted>2025-08-22T03:58:00Z</cp:lastPrinted>
  <dcterms:modified xsi:type="dcterms:W3CDTF">2026-04-22T01:58:13Z</dcterms:modified>
  <dc:title>HXQC</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2019-07-10T00:00:00Z</vt:filetime>
  </property>
  <property fmtid="{D5CDD505-2E9C-101B-9397-08002B2CF9AE}" pid="3" name="Creator">
    <vt:lpwstr>Acrobat PDFMaker 10.1 Word 版</vt:lpwstr>
  </property>
  <property fmtid="{D5CDD505-2E9C-101B-9397-08002B2CF9AE}" pid="4" name="KSOProductBuildVer">
    <vt:lpwstr>2052-12.1.0.25225</vt:lpwstr>
  </property>
  <property fmtid="{D5CDD505-2E9C-101B-9397-08002B2CF9AE}" pid="5" name="LastSaved">
    <vt:filetime>2025-06-14T00:00:00Z</vt:filetime>
  </property>
  <property fmtid="{D5CDD505-2E9C-101B-9397-08002B2CF9AE}" pid="6" name="Producer">
    <vt:lpwstr>3-Heights(TM) PDF Security Shell 4.8.25.2 (http://www.pdf-tools.com)</vt:lpwstr>
  </property>
  <property fmtid="{D5CDD505-2E9C-101B-9397-08002B2CF9AE}" pid="7" name="SourceModified">
    <vt:lpwstr>D:20190710024753</vt:lpwstr>
  </property>
  <property fmtid="{D5CDD505-2E9C-101B-9397-08002B2CF9AE}" pid="8" name="KSOTemplateDocerSaveRecord">
    <vt:lpwstr>eyJoZGlkIjoiODE5ZTE5NDc1NGFhMGMxNWYzYjBlOGE3MjNhMGJkNGQiLCJ1c2VySWQiOiIxMDQwODIzMTYwIn0=</vt:lpwstr>
  </property>
  <property fmtid="{D5CDD505-2E9C-101B-9397-08002B2CF9AE}" pid="9" name="ICV">
    <vt:lpwstr>6B6D895401AF4E988411B9501944C43A_12</vt:lpwstr>
  </property>
</Properties>
</file>