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0" w:type="auto"/>
        <w:jc w:val="center"/>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
      <w:tblGrid>
        <w:gridCol w:w="9346"/>
      </w:tblGrid>
      <w:tr w14:paraId="14E30741">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CellMar>
            <w:top w:w="0" w:type="dxa"/>
            <w:left w:w="108" w:type="dxa"/>
            <w:bottom w:w="0" w:type="dxa"/>
            <w:right w:w="108" w:type="dxa"/>
          </w:tblCellMar>
        </w:tblPrEx>
        <w:trPr>
          <w:trHeight w:val="13562" w:hRule="atLeast"/>
          <w:jc w:val="center"/>
        </w:trPr>
        <w:tc>
          <w:tcPr>
            <w:tcW w:w="9346" w:type="dxa"/>
          </w:tcPr>
          <w:p w14:paraId="68EECA6F">
            <w:pPr>
              <w:ind w:firstLine="0" w:firstLineChars="0"/>
              <w:jc w:val="center"/>
              <w:rPr>
                <w:rFonts w:hint="eastAsia"/>
                <w:sz w:val="22"/>
                <w:szCs w:val="21"/>
              </w:rPr>
            </w:pPr>
          </w:p>
          <w:p w14:paraId="5A3D4E11">
            <w:pPr>
              <w:ind w:firstLine="0" w:firstLineChars="0"/>
              <w:jc w:val="center"/>
              <w:rPr>
                <w:rFonts w:hint="eastAsia"/>
                <w:b/>
                <w:sz w:val="52"/>
                <w:szCs w:val="52"/>
              </w:rPr>
            </w:pPr>
            <w:r>
              <w:rPr>
                <w:rFonts w:hint="eastAsia"/>
                <w:sz w:val="24"/>
                <w:szCs w:val="24"/>
              </w:rPr>
              <w:drawing>
                <wp:anchor distT="0" distB="0" distL="114300" distR="114300" simplePos="0" relativeHeight="251659264" behindDoc="0" locked="0" layoutInCell="1" allowOverlap="1">
                  <wp:simplePos x="0" y="0"/>
                  <wp:positionH relativeFrom="column">
                    <wp:posOffset>2172970</wp:posOffset>
                  </wp:positionH>
                  <wp:positionV relativeFrom="paragraph">
                    <wp:posOffset>438150</wp:posOffset>
                  </wp:positionV>
                  <wp:extent cx="1298575" cy="1263650"/>
                  <wp:effectExtent l="0" t="0" r="12065" b="1270"/>
                  <wp:wrapNone/>
                  <wp:docPr id="2" name="图片 3" descr="339bdc2df1bf15a4c4d88c9929c4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339bdc2df1bf15a4c4d88c9929c41ee"/>
                          <pic:cNvPicPr>
                            <a:picLocks noChangeAspect="1"/>
                          </pic:cNvPicPr>
                        </pic:nvPicPr>
                        <pic:blipFill>
                          <a:blip r:embed="rId16"/>
                          <a:stretch>
                            <a:fillRect/>
                          </a:stretch>
                        </pic:blipFill>
                        <pic:spPr>
                          <a:xfrm>
                            <a:off x="0" y="0"/>
                            <a:ext cx="1298575" cy="1263650"/>
                          </a:xfrm>
                          <a:prstGeom prst="rect">
                            <a:avLst/>
                          </a:prstGeom>
                          <a:noFill/>
                          <a:ln>
                            <a:noFill/>
                          </a:ln>
                        </pic:spPr>
                      </pic:pic>
                    </a:graphicData>
                  </a:graphic>
                </wp:anchor>
              </w:drawing>
            </w:r>
          </w:p>
          <w:p w14:paraId="7CE8BF9C">
            <w:pPr>
              <w:ind w:firstLine="0" w:firstLineChars="0"/>
              <w:jc w:val="center"/>
              <w:rPr>
                <w:rFonts w:hint="eastAsia"/>
                <w:b/>
                <w:sz w:val="52"/>
                <w:szCs w:val="52"/>
              </w:rPr>
            </w:pPr>
          </w:p>
          <w:p w14:paraId="080BB0EC">
            <w:pPr>
              <w:ind w:firstLine="0" w:firstLineChars="0"/>
              <w:jc w:val="center"/>
              <w:rPr>
                <w:rFonts w:hint="eastAsia"/>
                <w:b/>
                <w:sz w:val="32"/>
                <w:szCs w:val="32"/>
              </w:rPr>
            </w:pPr>
          </w:p>
          <w:p w14:paraId="438EFAEB">
            <w:pPr>
              <w:ind w:firstLine="0" w:firstLineChars="0"/>
              <w:jc w:val="center"/>
              <w:rPr>
                <w:rFonts w:hint="eastAsia"/>
                <w:b/>
                <w:spacing w:val="20"/>
                <w:sz w:val="44"/>
                <w:szCs w:val="44"/>
                <w:lang w:val="en-GB"/>
              </w:rPr>
            </w:pPr>
          </w:p>
          <w:p w14:paraId="5F3CD127">
            <w:pPr>
              <w:ind w:firstLine="0" w:firstLineChars="0"/>
              <w:jc w:val="left"/>
              <w:rPr>
                <w:rFonts w:hint="eastAsia"/>
                <w:b/>
                <w:sz w:val="48"/>
                <w:szCs w:val="48"/>
              </w:rPr>
            </w:pPr>
          </w:p>
          <w:p w14:paraId="5362209F">
            <w:pPr>
              <w:ind w:left="0" w:leftChars="0" w:firstLine="0" w:firstLineChars="0"/>
              <w:jc w:val="center"/>
              <w:rPr>
                <w:b/>
                <w:sz w:val="48"/>
                <w:szCs w:val="48"/>
                <w:lang w:val="en-GB"/>
              </w:rPr>
            </w:pPr>
            <w:r>
              <w:rPr>
                <w:rFonts w:hint="eastAsia" w:cs="Times New Roman"/>
                <w:b/>
                <w:sz w:val="48"/>
                <w:szCs w:val="48"/>
              </w:rPr>
              <w:t>企业诚信管理体系认证规则</w:t>
            </w:r>
          </w:p>
          <w:p w14:paraId="6261F562">
            <w:pPr>
              <w:ind w:firstLine="1446" w:firstLineChars="300"/>
              <w:jc w:val="left"/>
              <w:rPr>
                <w:b/>
                <w:sz w:val="48"/>
                <w:szCs w:val="48"/>
                <w:lang w:val="en-GB"/>
              </w:rPr>
            </w:pPr>
          </w:p>
          <w:p w14:paraId="6BB3E3DE">
            <w:pPr>
              <w:ind w:firstLine="1446" w:firstLineChars="300"/>
              <w:jc w:val="left"/>
              <w:rPr>
                <w:rFonts w:hint="eastAsia"/>
                <w:b/>
                <w:sz w:val="48"/>
                <w:szCs w:val="48"/>
                <w:lang w:val="en-GB"/>
              </w:rPr>
            </w:pPr>
          </w:p>
          <w:p w14:paraId="0E633E12">
            <w:pPr>
              <w:ind w:firstLine="1446" w:firstLineChars="300"/>
              <w:jc w:val="left"/>
              <w:rPr>
                <w:rFonts w:hint="eastAsia"/>
                <w:b/>
                <w:sz w:val="48"/>
                <w:szCs w:val="48"/>
                <w:lang w:val="en-GB"/>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280"/>
              <w:gridCol w:w="1706"/>
              <w:gridCol w:w="2494"/>
            </w:tblGrid>
            <w:tr w14:paraId="0964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00" w:type="dxa"/>
                  <w:tcBorders>
                    <w:top w:val="nil"/>
                    <w:left w:val="nil"/>
                    <w:bottom w:val="nil"/>
                    <w:right w:val="nil"/>
                  </w:tcBorders>
                  <w:noWrap w:val="0"/>
                  <w:vAlign w:val="center"/>
                </w:tcPr>
                <w:p w14:paraId="431EFA7A">
                  <w:pPr>
                    <w:snapToGrid w:val="0"/>
                    <w:ind w:left="0" w:leftChars="0"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文件编号:</w:t>
                  </w:r>
                </w:p>
              </w:tc>
              <w:tc>
                <w:tcPr>
                  <w:tcW w:w="2280" w:type="dxa"/>
                  <w:tcBorders>
                    <w:top w:val="nil"/>
                    <w:left w:val="nil"/>
                    <w:bottom w:val="single" w:color="auto" w:sz="12" w:space="0"/>
                    <w:right w:val="nil"/>
                  </w:tcBorders>
                  <w:noWrap w:val="0"/>
                  <w:vAlign w:val="center"/>
                </w:tcPr>
                <w:p w14:paraId="62F75D0A">
                  <w:pPr>
                    <w:snapToGrid w:val="0"/>
                    <w:ind w:left="0" w:leftChars="0" w:firstLine="0" w:firstLineChars="0"/>
                    <w:jc w:val="center"/>
                    <w:rPr>
                      <w:rFonts w:hint="default" w:ascii="Times New Roman" w:hAnsi="Times New Roman" w:eastAsia="宋体" w:cs="Times New Roman"/>
                      <w:b/>
                      <w:bCs w:val="0"/>
                      <w:sz w:val="24"/>
                      <w:szCs w:val="24"/>
                    </w:rPr>
                  </w:pPr>
                  <w:bookmarkStart w:id="0" w:name="OLE_LINK1"/>
                  <w:r>
                    <w:rPr>
                      <w:rFonts w:hint="default" w:ascii="Times New Roman" w:hAnsi="Times New Roman" w:eastAsia="宋体" w:cs="Times New Roman"/>
                      <w:b/>
                      <w:bCs w:val="0"/>
                      <w:sz w:val="24"/>
                      <w:szCs w:val="24"/>
                    </w:rPr>
                    <w:t>FLH-RZGZ-00</w:t>
                  </w:r>
                  <w:r>
                    <w:rPr>
                      <w:rFonts w:hint="eastAsia" w:ascii="Times New Roman" w:hAnsi="Times New Roman" w:cs="Times New Roman"/>
                      <w:b/>
                      <w:bCs w:val="0"/>
                      <w:sz w:val="24"/>
                      <w:szCs w:val="24"/>
                      <w:lang w:val="en-US" w:eastAsia="zh-CN"/>
                    </w:rPr>
                    <w:t>4</w:t>
                  </w:r>
                  <w:r>
                    <w:rPr>
                      <w:rFonts w:hint="default" w:ascii="Times New Roman" w:hAnsi="Times New Roman" w:eastAsia="宋体" w:cs="Times New Roman"/>
                      <w:b/>
                      <w:bCs w:val="0"/>
                      <w:sz w:val="24"/>
                      <w:szCs w:val="24"/>
                    </w:rPr>
                    <w:t>A</w:t>
                  </w:r>
                  <w:bookmarkEnd w:id="0"/>
                </w:p>
              </w:tc>
              <w:tc>
                <w:tcPr>
                  <w:tcW w:w="1706" w:type="dxa"/>
                  <w:tcBorders>
                    <w:top w:val="nil"/>
                    <w:left w:val="nil"/>
                    <w:bottom w:val="nil"/>
                    <w:right w:val="nil"/>
                  </w:tcBorders>
                  <w:noWrap w:val="0"/>
                  <w:vAlign w:val="center"/>
                </w:tcPr>
                <w:p w14:paraId="1985695B">
                  <w:pPr>
                    <w:snapToGrid w:val="0"/>
                    <w:ind w:left="0" w:leftChars="0"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受控状态:</w:t>
                  </w:r>
                </w:p>
              </w:tc>
              <w:tc>
                <w:tcPr>
                  <w:tcW w:w="2494" w:type="dxa"/>
                  <w:tcBorders>
                    <w:top w:val="nil"/>
                    <w:left w:val="nil"/>
                    <w:bottom w:val="single" w:color="auto" w:sz="12" w:space="0"/>
                    <w:right w:val="nil"/>
                  </w:tcBorders>
                  <w:noWrap w:val="0"/>
                  <w:vAlign w:val="center"/>
                </w:tcPr>
                <w:p w14:paraId="2F18B633">
                  <w:pPr>
                    <w:snapToGrid w:val="0"/>
                    <w:ind w:left="0" w:leftChars="0"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受控</w:t>
                  </w:r>
                </w:p>
              </w:tc>
            </w:tr>
            <w:tr w14:paraId="091E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00" w:type="dxa"/>
                  <w:tcBorders>
                    <w:top w:val="nil"/>
                    <w:left w:val="nil"/>
                    <w:bottom w:val="nil"/>
                    <w:right w:val="nil"/>
                  </w:tcBorders>
                  <w:noWrap w:val="0"/>
                  <w:vAlign w:val="center"/>
                </w:tcPr>
                <w:p w14:paraId="300716D4">
                  <w:pPr>
                    <w:snapToGrid w:val="0"/>
                    <w:ind w:left="0" w:leftChars="0"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 xml:space="preserve">版    </w:t>
                  </w:r>
                  <w:r>
                    <w:rPr>
                      <w:rFonts w:hint="eastAsia" w:ascii="Times New Roman" w:hAnsi="Times New Roman" w:eastAsia="宋体" w:cs="Times New Roman"/>
                      <w:b/>
                      <w:bCs w:val="0"/>
                      <w:sz w:val="24"/>
                      <w:szCs w:val="24"/>
                      <w:lang w:val="en-US" w:eastAsia="zh-CN"/>
                    </w:rPr>
                    <w:t xml:space="preserve">   </w:t>
                  </w:r>
                  <w:r>
                    <w:rPr>
                      <w:rFonts w:hint="default" w:ascii="Times New Roman" w:hAnsi="Times New Roman" w:eastAsia="宋体" w:cs="Times New Roman"/>
                      <w:b/>
                      <w:bCs w:val="0"/>
                      <w:sz w:val="24"/>
                      <w:szCs w:val="24"/>
                    </w:rPr>
                    <w:t>次:</w:t>
                  </w:r>
                </w:p>
              </w:tc>
              <w:tc>
                <w:tcPr>
                  <w:tcW w:w="2280" w:type="dxa"/>
                  <w:tcBorders>
                    <w:top w:val="single" w:color="auto" w:sz="12" w:space="0"/>
                    <w:left w:val="nil"/>
                    <w:bottom w:val="single" w:color="auto" w:sz="12" w:space="0"/>
                    <w:right w:val="nil"/>
                  </w:tcBorders>
                  <w:noWrap w:val="0"/>
                  <w:vAlign w:val="center"/>
                </w:tcPr>
                <w:p w14:paraId="375F568C">
                  <w:pPr>
                    <w:snapToGrid w:val="0"/>
                    <w:ind w:left="0" w:leftChars="0"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A/1</w:t>
                  </w:r>
                </w:p>
              </w:tc>
              <w:tc>
                <w:tcPr>
                  <w:tcW w:w="1706" w:type="dxa"/>
                  <w:tcBorders>
                    <w:top w:val="nil"/>
                    <w:left w:val="nil"/>
                    <w:bottom w:val="nil"/>
                    <w:right w:val="nil"/>
                  </w:tcBorders>
                  <w:noWrap w:val="0"/>
                  <w:vAlign w:val="center"/>
                </w:tcPr>
                <w:p w14:paraId="4F04FEAA">
                  <w:pPr>
                    <w:snapToGrid w:val="0"/>
                    <w:ind w:left="0" w:leftChars="0"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发布日期:</w:t>
                  </w:r>
                </w:p>
              </w:tc>
              <w:tc>
                <w:tcPr>
                  <w:tcW w:w="2494" w:type="dxa"/>
                  <w:tcBorders>
                    <w:top w:val="single" w:color="auto" w:sz="12" w:space="0"/>
                    <w:left w:val="nil"/>
                    <w:bottom w:val="single" w:color="auto" w:sz="12" w:space="0"/>
                    <w:right w:val="nil"/>
                  </w:tcBorders>
                  <w:noWrap w:val="0"/>
                  <w:vAlign w:val="center"/>
                </w:tcPr>
                <w:p w14:paraId="1D9D4BCE">
                  <w:pPr>
                    <w:snapToGrid w:val="0"/>
                    <w:ind w:left="0" w:leftChars="0" w:firstLine="0" w:firstLineChars="0"/>
                    <w:jc w:val="center"/>
                    <w:rPr>
                      <w:rFonts w:hint="default" w:ascii="Times New Roman" w:hAnsi="Times New Roman" w:eastAsia="宋体" w:cs="Times New Roman"/>
                      <w:b/>
                      <w:bCs w:val="0"/>
                      <w:sz w:val="24"/>
                      <w:szCs w:val="24"/>
                      <w:lang w:val="en-US" w:eastAsia="zh-CN"/>
                    </w:rPr>
                  </w:pPr>
                  <w:r>
                    <w:rPr>
                      <w:rFonts w:hint="default" w:ascii="Times New Roman" w:hAnsi="Times New Roman" w:eastAsia="宋体" w:cs="Times New Roman"/>
                      <w:b/>
                      <w:bCs w:val="0"/>
                      <w:sz w:val="24"/>
                      <w:szCs w:val="24"/>
                    </w:rPr>
                    <w:t>202</w:t>
                  </w:r>
                  <w:r>
                    <w:rPr>
                      <w:rFonts w:hint="eastAsia" w:ascii="Times New Roman" w:hAnsi="Times New Roman" w:eastAsia="宋体" w:cs="Times New Roman"/>
                      <w:b/>
                      <w:bCs w:val="0"/>
                      <w:sz w:val="24"/>
                      <w:szCs w:val="24"/>
                      <w:lang w:val="en-US" w:eastAsia="zh-CN"/>
                    </w:rPr>
                    <w:t>1</w:t>
                  </w:r>
                  <w:r>
                    <w:rPr>
                      <w:rFonts w:hint="default" w:ascii="Times New Roman" w:hAnsi="Times New Roman" w:eastAsia="宋体" w:cs="Times New Roman"/>
                      <w:b/>
                      <w:bCs w:val="0"/>
                      <w:sz w:val="24"/>
                      <w:szCs w:val="24"/>
                    </w:rPr>
                    <w:t>-</w:t>
                  </w:r>
                  <w:r>
                    <w:rPr>
                      <w:rFonts w:hint="eastAsia" w:ascii="Times New Roman" w:hAnsi="Times New Roman" w:eastAsia="宋体" w:cs="Times New Roman"/>
                      <w:b/>
                      <w:bCs w:val="0"/>
                      <w:sz w:val="24"/>
                      <w:szCs w:val="24"/>
                      <w:lang w:val="en-US" w:eastAsia="zh-CN"/>
                    </w:rPr>
                    <w:t>05</w:t>
                  </w:r>
                  <w:r>
                    <w:rPr>
                      <w:rFonts w:hint="default" w:ascii="Times New Roman" w:hAnsi="Times New Roman" w:eastAsia="宋体" w:cs="Times New Roman"/>
                      <w:b/>
                      <w:bCs w:val="0"/>
                      <w:sz w:val="24"/>
                      <w:szCs w:val="24"/>
                    </w:rPr>
                    <w:t>-</w:t>
                  </w:r>
                  <w:r>
                    <w:rPr>
                      <w:rFonts w:hint="eastAsia" w:ascii="Times New Roman" w:hAnsi="Times New Roman" w:eastAsia="宋体" w:cs="Times New Roman"/>
                      <w:b/>
                      <w:bCs w:val="0"/>
                      <w:sz w:val="24"/>
                      <w:szCs w:val="24"/>
                      <w:lang w:val="en-US" w:eastAsia="zh-CN"/>
                    </w:rPr>
                    <w:t>21</w:t>
                  </w:r>
                </w:p>
              </w:tc>
            </w:tr>
            <w:tr w14:paraId="398A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00" w:type="dxa"/>
                  <w:tcBorders>
                    <w:top w:val="nil"/>
                    <w:left w:val="nil"/>
                    <w:bottom w:val="nil"/>
                    <w:right w:val="nil"/>
                  </w:tcBorders>
                  <w:noWrap w:val="0"/>
                  <w:vAlign w:val="center"/>
                </w:tcPr>
                <w:p w14:paraId="2C8E4FD6">
                  <w:pPr>
                    <w:snapToGrid w:val="0"/>
                    <w:ind w:left="0" w:leftChars="0"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修订日期:</w:t>
                  </w:r>
                </w:p>
              </w:tc>
              <w:tc>
                <w:tcPr>
                  <w:tcW w:w="2280" w:type="dxa"/>
                  <w:tcBorders>
                    <w:top w:val="single" w:color="auto" w:sz="12" w:space="0"/>
                    <w:left w:val="nil"/>
                    <w:bottom w:val="single" w:color="auto" w:sz="12" w:space="0"/>
                    <w:right w:val="nil"/>
                  </w:tcBorders>
                  <w:noWrap w:val="0"/>
                  <w:vAlign w:val="center"/>
                </w:tcPr>
                <w:p w14:paraId="3485F5A5">
                  <w:pPr>
                    <w:snapToGrid w:val="0"/>
                    <w:ind w:left="0" w:leftChars="0"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2025-06-14</w:t>
                  </w:r>
                </w:p>
              </w:tc>
              <w:tc>
                <w:tcPr>
                  <w:tcW w:w="1706" w:type="dxa"/>
                  <w:tcBorders>
                    <w:top w:val="nil"/>
                    <w:left w:val="nil"/>
                    <w:bottom w:val="nil"/>
                    <w:right w:val="nil"/>
                  </w:tcBorders>
                  <w:noWrap w:val="0"/>
                  <w:vAlign w:val="center"/>
                </w:tcPr>
                <w:p w14:paraId="76DF4670">
                  <w:pPr>
                    <w:snapToGrid w:val="0"/>
                    <w:ind w:left="0" w:leftChars="0"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实施日期:</w:t>
                  </w:r>
                </w:p>
              </w:tc>
              <w:tc>
                <w:tcPr>
                  <w:tcW w:w="2494" w:type="dxa"/>
                  <w:tcBorders>
                    <w:top w:val="single" w:color="auto" w:sz="12" w:space="0"/>
                    <w:left w:val="nil"/>
                    <w:bottom w:val="single" w:color="auto" w:sz="12" w:space="0"/>
                    <w:right w:val="nil"/>
                  </w:tcBorders>
                  <w:noWrap w:val="0"/>
                  <w:vAlign w:val="center"/>
                </w:tcPr>
                <w:p w14:paraId="0474AB41">
                  <w:pPr>
                    <w:snapToGrid w:val="0"/>
                    <w:ind w:left="0" w:leftChars="0" w:firstLine="0" w:firstLineChars="0"/>
                    <w:jc w:val="center"/>
                    <w:rPr>
                      <w:rFonts w:hint="default" w:ascii="Times New Roman" w:hAnsi="Times New Roman" w:eastAsia="宋体" w:cs="Times New Roman"/>
                      <w:b/>
                      <w:bCs w:val="0"/>
                      <w:sz w:val="24"/>
                      <w:szCs w:val="24"/>
                    </w:rPr>
                  </w:pPr>
                  <w:bookmarkStart w:id="1" w:name="OLE_LINK3"/>
                  <w:r>
                    <w:rPr>
                      <w:rFonts w:hint="default" w:ascii="Times New Roman" w:hAnsi="Times New Roman" w:eastAsia="宋体" w:cs="Times New Roman"/>
                      <w:b/>
                      <w:bCs w:val="0"/>
                      <w:sz w:val="24"/>
                      <w:szCs w:val="24"/>
                    </w:rPr>
                    <w:t>2025-06-14</w:t>
                  </w:r>
                  <w:bookmarkEnd w:id="1"/>
                </w:p>
              </w:tc>
            </w:tr>
          </w:tbl>
          <w:p w14:paraId="26622432">
            <w:pPr>
              <w:ind w:firstLine="0" w:firstLineChars="0"/>
              <w:jc w:val="center"/>
              <w:rPr>
                <w:rFonts w:hint="eastAsia" w:ascii="楷体_GB2312" w:eastAsia="楷体_GB2312"/>
                <w:sz w:val="32"/>
                <w:szCs w:val="32"/>
              </w:rPr>
            </w:pPr>
            <w:r>
              <w:rPr>
                <w:rFonts w:hint="eastAsia"/>
                <w:sz w:val="22"/>
              </w:rPr>
              <w:t xml:space="preserve">  </w:t>
            </w:r>
          </w:p>
          <w:p w14:paraId="1E13572D">
            <w:pPr>
              <w:ind w:firstLine="0" w:firstLineChars="0"/>
              <w:jc w:val="center"/>
              <w:rPr>
                <w:rFonts w:hint="eastAsia" w:ascii="楷体_GB2312" w:eastAsia="楷体_GB2312"/>
                <w:sz w:val="32"/>
                <w:szCs w:val="32"/>
              </w:rPr>
            </w:pPr>
          </w:p>
          <w:p w14:paraId="3315BADB">
            <w:pPr>
              <w:ind w:firstLine="0" w:firstLineChars="0"/>
              <w:jc w:val="center"/>
              <w:rPr>
                <w:rFonts w:hint="eastAsia" w:ascii="楷体_GB2312" w:eastAsia="楷体_GB2312"/>
                <w:sz w:val="32"/>
                <w:szCs w:val="32"/>
              </w:rPr>
            </w:pPr>
          </w:p>
          <w:p w14:paraId="670417FC">
            <w:pPr>
              <w:snapToGrid w:val="0"/>
              <w:spacing w:line="240" w:lineRule="auto"/>
              <w:ind w:firstLine="0" w:firstLineChars="0"/>
              <w:jc w:val="center"/>
              <w:rPr>
                <w:rFonts w:hint="eastAsia"/>
                <w:sz w:val="36"/>
                <w:szCs w:val="36"/>
              </w:rPr>
            </w:pPr>
            <w:r>
              <w:rPr>
                <w:rFonts w:hint="eastAsia"/>
                <w:sz w:val="36"/>
                <w:szCs w:val="36"/>
              </w:rPr>
              <w:t>富利汇认证（宁夏）有限公司</w:t>
            </w:r>
          </w:p>
          <w:p w14:paraId="74D2B9F5">
            <w:pPr>
              <w:ind w:firstLine="0" w:firstLineChars="0"/>
              <w:jc w:val="center"/>
              <w:rPr>
                <w:rFonts w:hint="eastAsia" w:ascii="Tahoma" w:hAnsi="Tahoma" w:cs="Tahoma"/>
                <w:color w:val="434343"/>
                <w:sz w:val="28"/>
                <w:szCs w:val="28"/>
              </w:rPr>
            </w:pPr>
          </w:p>
          <w:p w14:paraId="2319190F">
            <w:pPr>
              <w:ind w:firstLine="0" w:firstLineChars="0"/>
              <w:jc w:val="center"/>
              <w:rPr>
                <w:rFonts w:hint="eastAsia" w:ascii="仿宋_GB2312" w:eastAsia="仿宋_GB2312"/>
                <w:sz w:val="22"/>
              </w:rPr>
            </w:pPr>
            <w:r>
              <w:rPr>
                <w:rFonts w:hint="eastAsia" w:ascii="仿宋_GB2312" w:eastAsia="仿宋_GB2312"/>
                <w:sz w:val="22"/>
              </w:rPr>
              <w:t xml:space="preserve">                                               </w:t>
            </w:r>
          </w:p>
        </w:tc>
      </w:tr>
    </w:tbl>
    <w:p w14:paraId="3415D650">
      <w:pPr>
        <w:ind w:firstLine="0" w:firstLineChars="0"/>
        <w:rPr>
          <w:rFonts w:hint="eastAsia"/>
          <w:position w:val="1"/>
          <w:sz w:val="44"/>
        </w:rPr>
        <w:sectPr>
          <w:headerReference r:id="rId7" w:type="first"/>
          <w:footerReference r:id="rId10" w:type="first"/>
          <w:headerReference r:id="rId5" w:type="default"/>
          <w:footerReference r:id="rId8" w:type="default"/>
          <w:headerReference r:id="rId6" w:type="even"/>
          <w:footerReference r:id="rId9" w:type="even"/>
          <w:type w:val="continuous"/>
          <w:pgSz w:w="11911" w:h="16838"/>
          <w:pgMar w:top="1417" w:right="1134" w:bottom="1134" w:left="1134" w:header="567" w:footer="998" w:gutter="0"/>
          <w:cols w:space="0" w:num="1"/>
          <w:rtlGutter w:val="0"/>
          <w:docGrid w:linePitch="0" w:charSpace="0"/>
        </w:sectPr>
      </w:pPr>
    </w:p>
    <w:p w14:paraId="7A06D58F">
      <w:pPr>
        <w:ind w:firstLine="0" w:firstLineChars="0"/>
        <w:contextualSpacing/>
        <w:jc w:val="center"/>
        <w:rPr>
          <w:rFonts w:hint="eastAsia"/>
          <w:b/>
          <w:bCs/>
          <w:sz w:val="28"/>
          <w:szCs w:val="28"/>
        </w:rPr>
      </w:pPr>
      <w:bookmarkStart w:id="2" w:name="_Hlk197671090"/>
      <w:r>
        <w:rPr>
          <w:rFonts w:hint="eastAsia"/>
          <w:b/>
          <w:bCs/>
          <w:sz w:val="28"/>
          <w:szCs w:val="28"/>
        </w:rPr>
        <w:t>修改记录</w:t>
      </w:r>
    </w:p>
    <w:tbl>
      <w:tblPr>
        <w:tblStyle w:val="11"/>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75"/>
        <w:gridCol w:w="1232"/>
        <w:gridCol w:w="2413"/>
        <w:gridCol w:w="3082"/>
      </w:tblGrid>
      <w:tr w14:paraId="2D42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733BD3A5">
            <w:pPr>
              <w:ind w:firstLine="0" w:firstLineChars="0"/>
              <w:contextualSpacing/>
              <w:jc w:val="center"/>
              <w:rPr>
                <w:rFonts w:hint="eastAsia" w:cs="Arial"/>
                <w:b/>
                <w:bCs/>
              </w:rPr>
            </w:pPr>
            <w:r>
              <w:rPr>
                <w:rFonts w:cs="Arial"/>
                <w:b/>
                <w:bCs/>
                <w:w w:val="90"/>
              </w:rPr>
              <w:t>序号</w:t>
            </w:r>
          </w:p>
        </w:tc>
        <w:tc>
          <w:tcPr>
            <w:tcW w:w="1875" w:type="dxa"/>
            <w:vAlign w:val="center"/>
          </w:tcPr>
          <w:p w14:paraId="59335527">
            <w:pPr>
              <w:ind w:firstLine="198" w:firstLineChars="94"/>
              <w:contextualSpacing/>
              <w:jc w:val="center"/>
              <w:rPr>
                <w:rFonts w:hint="eastAsia" w:cs="Arial"/>
                <w:b/>
                <w:bCs/>
              </w:rPr>
            </w:pPr>
            <w:r>
              <w:rPr>
                <w:rFonts w:cs="Arial"/>
                <w:b/>
                <w:bCs/>
              </w:rPr>
              <w:t>修改</w:t>
            </w:r>
            <w:r>
              <w:rPr>
                <w:rFonts w:hint="eastAsia" w:cs="Arial"/>
                <w:b/>
                <w:bCs/>
              </w:rPr>
              <w:t>说明</w:t>
            </w:r>
          </w:p>
        </w:tc>
        <w:tc>
          <w:tcPr>
            <w:tcW w:w="1232" w:type="dxa"/>
            <w:vAlign w:val="center"/>
          </w:tcPr>
          <w:p w14:paraId="2156AEE2">
            <w:pPr>
              <w:ind w:firstLine="198" w:firstLineChars="94"/>
              <w:contextualSpacing/>
              <w:jc w:val="center"/>
              <w:rPr>
                <w:rFonts w:hint="eastAsia" w:cs="Arial"/>
                <w:b/>
                <w:bCs/>
              </w:rPr>
            </w:pPr>
            <w:r>
              <w:rPr>
                <w:rFonts w:hint="eastAsia" w:cs="Arial"/>
                <w:b/>
                <w:bCs/>
              </w:rPr>
              <w:t>版次</w:t>
            </w:r>
          </w:p>
        </w:tc>
        <w:tc>
          <w:tcPr>
            <w:tcW w:w="2413" w:type="dxa"/>
            <w:vAlign w:val="center"/>
          </w:tcPr>
          <w:p w14:paraId="157FD54B">
            <w:pPr>
              <w:ind w:firstLine="0" w:firstLineChars="0"/>
              <w:contextualSpacing/>
              <w:jc w:val="center"/>
              <w:rPr>
                <w:rFonts w:hint="eastAsia" w:cs="Arial"/>
                <w:b/>
                <w:bCs/>
              </w:rPr>
            </w:pPr>
            <w:r>
              <w:rPr>
                <w:rFonts w:cs="Arial"/>
                <w:b/>
                <w:bCs/>
              </w:rPr>
              <w:t>修改人/日期</w:t>
            </w:r>
          </w:p>
        </w:tc>
        <w:tc>
          <w:tcPr>
            <w:tcW w:w="3082" w:type="dxa"/>
            <w:vAlign w:val="center"/>
          </w:tcPr>
          <w:p w14:paraId="642652C5">
            <w:pPr>
              <w:ind w:firstLine="0" w:firstLineChars="0"/>
              <w:contextualSpacing/>
              <w:jc w:val="center"/>
              <w:rPr>
                <w:rFonts w:hint="eastAsia" w:cs="Arial"/>
                <w:b/>
                <w:bCs/>
              </w:rPr>
            </w:pPr>
            <w:r>
              <w:rPr>
                <w:rFonts w:cs="Arial"/>
                <w:b/>
                <w:bCs/>
              </w:rPr>
              <w:t>批准人/日期</w:t>
            </w:r>
          </w:p>
        </w:tc>
      </w:tr>
      <w:tr w14:paraId="6AEE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60211698">
            <w:pPr>
              <w:ind w:firstLine="0" w:firstLineChars="0"/>
              <w:contextualSpacing/>
              <w:jc w:val="center"/>
              <w:rPr>
                <w:rFonts w:hint="default" w:ascii="Times New Roman" w:hAnsi="Times New Roman" w:cs="Times New Roman"/>
                <w:szCs w:val="21"/>
              </w:rPr>
            </w:pPr>
            <w:r>
              <w:rPr>
                <w:rFonts w:hint="default" w:ascii="Times New Roman" w:hAnsi="Times New Roman" w:cs="Times New Roman"/>
                <w:szCs w:val="21"/>
              </w:rPr>
              <w:t>01</w:t>
            </w:r>
          </w:p>
        </w:tc>
        <w:tc>
          <w:tcPr>
            <w:tcW w:w="1875" w:type="dxa"/>
            <w:vAlign w:val="center"/>
          </w:tcPr>
          <w:p w14:paraId="706CBF0D">
            <w:pPr>
              <w:ind w:firstLine="0" w:firstLineChars="0"/>
              <w:contextualSpacing/>
              <w:jc w:val="center"/>
              <w:rPr>
                <w:rFonts w:hint="default" w:ascii="Times New Roman" w:hAnsi="Times New Roman" w:cs="Times New Roman"/>
                <w:szCs w:val="21"/>
              </w:rPr>
            </w:pPr>
            <w:r>
              <w:rPr>
                <w:rFonts w:hint="default" w:ascii="Times New Roman" w:hAnsi="Times New Roman" w:cs="Times New Roman"/>
                <w:szCs w:val="21"/>
              </w:rPr>
              <w:t>首次发布</w:t>
            </w:r>
          </w:p>
        </w:tc>
        <w:tc>
          <w:tcPr>
            <w:tcW w:w="1232" w:type="dxa"/>
            <w:vAlign w:val="center"/>
          </w:tcPr>
          <w:p w14:paraId="16EA3CE7">
            <w:pPr>
              <w:ind w:firstLine="0" w:firstLineChars="0"/>
              <w:contextualSpacing/>
              <w:jc w:val="center"/>
              <w:rPr>
                <w:rFonts w:hint="eastAsia" w:ascii="Times New Roman" w:hAnsi="Times New Roman" w:eastAsia="宋体" w:cs="Times New Roman"/>
                <w:szCs w:val="21"/>
                <w:lang w:eastAsia="zh-CN"/>
              </w:rPr>
            </w:pPr>
            <w:r>
              <w:rPr>
                <w:rFonts w:hint="default" w:ascii="Times New Roman" w:hAnsi="Times New Roman" w:cs="Times New Roman"/>
                <w:szCs w:val="21"/>
              </w:rPr>
              <w:t>A/</w:t>
            </w:r>
            <w:r>
              <w:rPr>
                <w:rFonts w:hint="eastAsia" w:ascii="Times New Roman" w:hAnsi="Times New Roman" w:cs="Times New Roman"/>
                <w:szCs w:val="21"/>
                <w:lang w:val="en-US" w:eastAsia="zh-CN"/>
              </w:rPr>
              <w:t>0</w:t>
            </w:r>
          </w:p>
        </w:tc>
        <w:tc>
          <w:tcPr>
            <w:tcW w:w="2413" w:type="dxa"/>
            <w:vAlign w:val="center"/>
          </w:tcPr>
          <w:p w14:paraId="332F220A">
            <w:pPr>
              <w:ind w:firstLine="0" w:firstLineChars="0"/>
              <w:contextualSpacing/>
              <w:jc w:val="center"/>
              <w:rPr>
                <w:rFonts w:hint="default" w:ascii="Times New Roman" w:hAnsi="Times New Roman" w:cs="Times New Roman"/>
                <w:szCs w:val="21"/>
              </w:rPr>
            </w:pPr>
            <w:bookmarkStart w:id="3" w:name="OLE_LINK2"/>
            <w:r>
              <w:rPr>
                <w:rFonts w:hint="default" w:ascii="Times New Roman" w:hAnsi="Times New Roman" w:cs="Times New Roman"/>
                <w:szCs w:val="21"/>
              </w:rPr>
              <w:t>赵丽丽/</w:t>
            </w:r>
            <w:bookmarkEnd w:id="3"/>
            <w:r>
              <w:rPr>
                <w:rFonts w:hint="default" w:ascii="Times New Roman" w:hAnsi="Times New Roman" w:cs="Times New Roman"/>
                <w:szCs w:val="21"/>
              </w:rPr>
              <w:t>2021-05-21</w:t>
            </w:r>
          </w:p>
        </w:tc>
        <w:tc>
          <w:tcPr>
            <w:tcW w:w="3082" w:type="dxa"/>
            <w:vAlign w:val="center"/>
          </w:tcPr>
          <w:p w14:paraId="3239B559">
            <w:pPr>
              <w:ind w:firstLine="0" w:firstLineChars="0"/>
              <w:contextualSpacing/>
              <w:jc w:val="center"/>
              <w:rPr>
                <w:rFonts w:hint="default" w:ascii="Times New Roman" w:hAnsi="Times New Roman" w:cs="Times New Roman"/>
                <w:szCs w:val="21"/>
              </w:rPr>
            </w:pPr>
            <w:r>
              <w:rPr>
                <w:rFonts w:hint="default" w:ascii="Times New Roman" w:hAnsi="Times New Roman" w:cs="Times New Roman"/>
                <w:szCs w:val="21"/>
              </w:rPr>
              <w:t>罗洪轩/2021-05-21</w:t>
            </w:r>
          </w:p>
        </w:tc>
      </w:tr>
      <w:tr w14:paraId="4657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67CA2324">
            <w:pPr>
              <w:ind w:firstLine="0" w:firstLineChars="0"/>
              <w:contextualSpacing/>
              <w:jc w:val="center"/>
              <w:rPr>
                <w:rFonts w:hint="default" w:ascii="Times New Roman" w:hAnsi="Times New Roman" w:cs="Times New Roman"/>
                <w:szCs w:val="21"/>
              </w:rPr>
            </w:pPr>
            <w:r>
              <w:rPr>
                <w:rFonts w:hint="default" w:ascii="Times New Roman" w:hAnsi="Times New Roman" w:cs="Times New Roman"/>
                <w:szCs w:val="21"/>
              </w:rPr>
              <w:t>02</w:t>
            </w:r>
          </w:p>
        </w:tc>
        <w:tc>
          <w:tcPr>
            <w:tcW w:w="1875" w:type="dxa"/>
            <w:vAlign w:val="center"/>
          </w:tcPr>
          <w:p w14:paraId="50B31A2F">
            <w:pPr>
              <w:ind w:firstLine="0" w:firstLineChars="0"/>
              <w:contextualSpacing/>
              <w:jc w:val="center"/>
              <w:rPr>
                <w:rFonts w:hint="default" w:ascii="Times New Roman" w:hAnsi="Times New Roman" w:cs="Times New Roman"/>
                <w:szCs w:val="21"/>
              </w:rPr>
            </w:pPr>
            <w:r>
              <w:rPr>
                <w:rFonts w:hint="default" w:ascii="Times New Roman" w:hAnsi="Times New Roman" w:cs="Times New Roman"/>
                <w:szCs w:val="21"/>
              </w:rPr>
              <w:t>第一次修订</w:t>
            </w:r>
          </w:p>
        </w:tc>
        <w:tc>
          <w:tcPr>
            <w:tcW w:w="1232" w:type="dxa"/>
            <w:vAlign w:val="center"/>
          </w:tcPr>
          <w:p w14:paraId="02004B74">
            <w:pPr>
              <w:ind w:firstLine="0" w:firstLineChars="0"/>
              <w:contextualSpacing/>
              <w:jc w:val="center"/>
              <w:rPr>
                <w:rFonts w:hint="default" w:ascii="Times New Roman" w:hAnsi="Times New Roman" w:cs="Times New Roman"/>
                <w:szCs w:val="21"/>
              </w:rPr>
            </w:pPr>
            <w:r>
              <w:rPr>
                <w:rFonts w:hint="default" w:ascii="Times New Roman" w:hAnsi="Times New Roman" w:cs="Times New Roman"/>
                <w:szCs w:val="21"/>
              </w:rPr>
              <w:t>A/1</w:t>
            </w:r>
          </w:p>
        </w:tc>
        <w:tc>
          <w:tcPr>
            <w:tcW w:w="2413" w:type="dxa"/>
            <w:vAlign w:val="center"/>
          </w:tcPr>
          <w:p w14:paraId="605B5477">
            <w:pPr>
              <w:ind w:firstLine="0" w:firstLineChars="0"/>
              <w:contextualSpacing/>
              <w:jc w:val="center"/>
              <w:rPr>
                <w:rFonts w:hint="default" w:ascii="Times New Roman" w:hAnsi="Times New Roman" w:cs="Times New Roman"/>
                <w:szCs w:val="21"/>
              </w:rPr>
            </w:pPr>
            <w:r>
              <w:rPr>
                <w:rFonts w:hint="default" w:ascii="Times New Roman" w:hAnsi="Times New Roman" w:cs="Times New Roman"/>
                <w:szCs w:val="21"/>
              </w:rPr>
              <w:t>赵丽丽/2025-06-14</w:t>
            </w:r>
          </w:p>
        </w:tc>
        <w:tc>
          <w:tcPr>
            <w:tcW w:w="3082" w:type="dxa"/>
            <w:vAlign w:val="center"/>
          </w:tcPr>
          <w:p w14:paraId="2AC44355">
            <w:pPr>
              <w:ind w:firstLine="0" w:firstLineChars="0"/>
              <w:contextualSpacing/>
              <w:jc w:val="center"/>
              <w:rPr>
                <w:rFonts w:hint="default" w:ascii="Times New Roman" w:hAnsi="Times New Roman" w:cs="Times New Roman"/>
                <w:szCs w:val="21"/>
              </w:rPr>
            </w:pPr>
            <w:r>
              <w:rPr>
                <w:rFonts w:hint="default" w:ascii="Times New Roman" w:hAnsi="Times New Roman" w:cs="Times New Roman"/>
                <w:szCs w:val="21"/>
              </w:rPr>
              <w:t>罗洪轩/2025-06-14</w:t>
            </w:r>
          </w:p>
        </w:tc>
      </w:tr>
      <w:tr w14:paraId="7B3D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35252A94">
            <w:pPr>
              <w:ind w:firstLine="420"/>
              <w:contextualSpacing/>
              <w:jc w:val="center"/>
              <w:rPr>
                <w:rFonts w:hint="eastAsia" w:cs="Arial"/>
                <w:szCs w:val="21"/>
              </w:rPr>
            </w:pPr>
          </w:p>
        </w:tc>
        <w:tc>
          <w:tcPr>
            <w:tcW w:w="1875" w:type="dxa"/>
            <w:vAlign w:val="center"/>
          </w:tcPr>
          <w:p w14:paraId="6DDF4362">
            <w:pPr>
              <w:ind w:firstLine="420"/>
              <w:contextualSpacing/>
              <w:jc w:val="center"/>
              <w:rPr>
                <w:rFonts w:hint="eastAsia" w:cs="Arial"/>
                <w:szCs w:val="21"/>
              </w:rPr>
            </w:pPr>
          </w:p>
        </w:tc>
        <w:tc>
          <w:tcPr>
            <w:tcW w:w="1232" w:type="dxa"/>
            <w:vAlign w:val="center"/>
          </w:tcPr>
          <w:p w14:paraId="2928FBB7">
            <w:pPr>
              <w:ind w:firstLine="420"/>
              <w:contextualSpacing/>
              <w:jc w:val="center"/>
              <w:rPr>
                <w:rFonts w:hint="eastAsia" w:cs="Arial"/>
                <w:szCs w:val="21"/>
              </w:rPr>
            </w:pPr>
          </w:p>
        </w:tc>
        <w:tc>
          <w:tcPr>
            <w:tcW w:w="2413" w:type="dxa"/>
            <w:vAlign w:val="center"/>
          </w:tcPr>
          <w:p w14:paraId="244D71BA">
            <w:pPr>
              <w:ind w:firstLine="420"/>
              <w:contextualSpacing/>
              <w:jc w:val="center"/>
              <w:rPr>
                <w:rFonts w:hint="eastAsia" w:cs="Arial"/>
                <w:szCs w:val="21"/>
              </w:rPr>
            </w:pPr>
          </w:p>
        </w:tc>
        <w:tc>
          <w:tcPr>
            <w:tcW w:w="3082" w:type="dxa"/>
            <w:vAlign w:val="center"/>
          </w:tcPr>
          <w:p w14:paraId="4A10A2AB">
            <w:pPr>
              <w:ind w:firstLine="420"/>
              <w:contextualSpacing/>
              <w:jc w:val="center"/>
              <w:rPr>
                <w:rFonts w:hint="eastAsia" w:cs="Arial"/>
                <w:szCs w:val="21"/>
              </w:rPr>
            </w:pPr>
          </w:p>
        </w:tc>
      </w:tr>
      <w:tr w14:paraId="4721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7B9F8C77">
            <w:pPr>
              <w:ind w:firstLine="420"/>
              <w:contextualSpacing/>
              <w:jc w:val="center"/>
              <w:rPr>
                <w:rFonts w:hint="eastAsia" w:cs="Arial"/>
                <w:szCs w:val="21"/>
              </w:rPr>
            </w:pPr>
          </w:p>
        </w:tc>
        <w:tc>
          <w:tcPr>
            <w:tcW w:w="1875" w:type="dxa"/>
            <w:vAlign w:val="center"/>
          </w:tcPr>
          <w:p w14:paraId="32DCB2EF">
            <w:pPr>
              <w:ind w:firstLine="420"/>
              <w:contextualSpacing/>
              <w:jc w:val="center"/>
              <w:rPr>
                <w:rFonts w:hint="eastAsia" w:cs="Arial"/>
                <w:szCs w:val="21"/>
              </w:rPr>
            </w:pPr>
          </w:p>
        </w:tc>
        <w:tc>
          <w:tcPr>
            <w:tcW w:w="1232" w:type="dxa"/>
            <w:vAlign w:val="center"/>
          </w:tcPr>
          <w:p w14:paraId="57C93E7C">
            <w:pPr>
              <w:ind w:firstLine="420"/>
              <w:contextualSpacing/>
              <w:jc w:val="center"/>
              <w:rPr>
                <w:rFonts w:hint="eastAsia" w:cs="Arial"/>
                <w:szCs w:val="21"/>
              </w:rPr>
            </w:pPr>
          </w:p>
        </w:tc>
        <w:tc>
          <w:tcPr>
            <w:tcW w:w="2413" w:type="dxa"/>
            <w:vAlign w:val="center"/>
          </w:tcPr>
          <w:p w14:paraId="5E6EF5B5">
            <w:pPr>
              <w:ind w:firstLine="420"/>
              <w:contextualSpacing/>
              <w:jc w:val="center"/>
              <w:rPr>
                <w:rFonts w:hint="eastAsia" w:cs="Arial"/>
                <w:szCs w:val="21"/>
              </w:rPr>
            </w:pPr>
          </w:p>
        </w:tc>
        <w:tc>
          <w:tcPr>
            <w:tcW w:w="3082" w:type="dxa"/>
            <w:vAlign w:val="center"/>
          </w:tcPr>
          <w:p w14:paraId="61D518B6">
            <w:pPr>
              <w:ind w:firstLine="420"/>
              <w:contextualSpacing/>
              <w:jc w:val="center"/>
              <w:rPr>
                <w:rFonts w:hint="eastAsia" w:cs="Arial"/>
                <w:szCs w:val="21"/>
              </w:rPr>
            </w:pPr>
          </w:p>
        </w:tc>
      </w:tr>
      <w:tr w14:paraId="113D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7D09CE43">
            <w:pPr>
              <w:ind w:firstLine="420"/>
              <w:contextualSpacing/>
              <w:jc w:val="center"/>
              <w:rPr>
                <w:rFonts w:hint="eastAsia" w:cs="Arial"/>
                <w:szCs w:val="21"/>
              </w:rPr>
            </w:pPr>
          </w:p>
        </w:tc>
        <w:tc>
          <w:tcPr>
            <w:tcW w:w="1875" w:type="dxa"/>
            <w:vAlign w:val="center"/>
          </w:tcPr>
          <w:p w14:paraId="7C3AD214">
            <w:pPr>
              <w:ind w:firstLine="420"/>
              <w:contextualSpacing/>
              <w:jc w:val="center"/>
              <w:rPr>
                <w:rFonts w:hint="eastAsia" w:cs="Arial"/>
                <w:szCs w:val="21"/>
              </w:rPr>
            </w:pPr>
          </w:p>
        </w:tc>
        <w:tc>
          <w:tcPr>
            <w:tcW w:w="1232" w:type="dxa"/>
            <w:vAlign w:val="center"/>
          </w:tcPr>
          <w:p w14:paraId="779A3F46">
            <w:pPr>
              <w:ind w:firstLine="420"/>
              <w:contextualSpacing/>
              <w:jc w:val="center"/>
              <w:rPr>
                <w:rFonts w:hint="eastAsia" w:cs="Arial"/>
                <w:szCs w:val="21"/>
              </w:rPr>
            </w:pPr>
          </w:p>
        </w:tc>
        <w:tc>
          <w:tcPr>
            <w:tcW w:w="2413" w:type="dxa"/>
            <w:vAlign w:val="center"/>
          </w:tcPr>
          <w:p w14:paraId="737A63ED">
            <w:pPr>
              <w:ind w:firstLine="420"/>
              <w:contextualSpacing/>
              <w:jc w:val="center"/>
              <w:rPr>
                <w:rFonts w:hint="eastAsia" w:cs="Arial"/>
                <w:szCs w:val="21"/>
              </w:rPr>
            </w:pPr>
          </w:p>
        </w:tc>
        <w:tc>
          <w:tcPr>
            <w:tcW w:w="3082" w:type="dxa"/>
            <w:vAlign w:val="center"/>
          </w:tcPr>
          <w:p w14:paraId="395872E9">
            <w:pPr>
              <w:ind w:firstLine="420"/>
              <w:contextualSpacing/>
              <w:jc w:val="center"/>
              <w:rPr>
                <w:rFonts w:hint="eastAsia" w:cs="Arial"/>
                <w:szCs w:val="21"/>
              </w:rPr>
            </w:pPr>
          </w:p>
        </w:tc>
      </w:tr>
      <w:tr w14:paraId="7F44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6FFCC172">
            <w:pPr>
              <w:ind w:firstLine="420"/>
              <w:contextualSpacing/>
              <w:jc w:val="center"/>
              <w:rPr>
                <w:rFonts w:hint="eastAsia" w:cs="Arial"/>
                <w:szCs w:val="21"/>
              </w:rPr>
            </w:pPr>
          </w:p>
        </w:tc>
        <w:tc>
          <w:tcPr>
            <w:tcW w:w="1875" w:type="dxa"/>
            <w:vAlign w:val="center"/>
          </w:tcPr>
          <w:p w14:paraId="4E961F49">
            <w:pPr>
              <w:ind w:firstLine="420"/>
              <w:contextualSpacing/>
              <w:jc w:val="center"/>
              <w:rPr>
                <w:rFonts w:hint="eastAsia" w:cs="Arial"/>
                <w:szCs w:val="21"/>
              </w:rPr>
            </w:pPr>
          </w:p>
        </w:tc>
        <w:tc>
          <w:tcPr>
            <w:tcW w:w="1232" w:type="dxa"/>
            <w:vAlign w:val="center"/>
          </w:tcPr>
          <w:p w14:paraId="703B0A82">
            <w:pPr>
              <w:ind w:firstLine="420"/>
              <w:contextualSpacing/>
              <w:jc w:val="center"/>
              <w:rPr>
                <w:rFonts w:hint="eastAsia" w:cs="Arial"/>
                <w:szCs w:val="21"/>
              </w:rPr>
            </w:pPr>
          </w:p>
        </w:tc>
        <w:tc>
          <w:tcPr>
            <w:tcW w:w="2413" w:type="dxa"/>
            <w:vAlign w:val="center"/>
          </w:tcPr>
          <w:p w14:paraId="240F1903">
            <w:pPr>
              <w:ind w:firstLine="420"/>
              <w:contextualSpacing/>
              <w:jc w:val="center"/>
              <w:rPr>
                <w:rFonts w:hint="eastAsia" w:cs="Arial"/>
                <w:szCs w:val="21"/>
              </w:rPr>
            </w:pPr>
          </w:p>
        </w:tc>
        <w:tc>
          <w:tcPr>
            <w:tcW w:w="3082" w:type="dxa"/>
            <w:vAlign w:val="center"/>
          </w:tcPr>
          <w:p w14:paraId="723F3E43">
            <w:pPr>
              <w:ind w:firstLine="420"/>
              <w:contextualSpacing/>
              <w:jc w:val="center"/>
              <w:rPr>
                <w:rFonts w:hint="eastAsia" w:cs="Arial"/>
                <w:szCs w:val="21"/>
              </w:rPr>
            </w:pPr>
          </w:p>
        </w:tc>
      </w:tr>
      <w:tr w14:paraId="4BBE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008A42F0">
            <w:pPr>
              <w:ind w:firstLine="420"/>
              <w:contextualSpacing/>
              <w:jc w:val="center"/>
              <w:rPr>
                <w:rFonts w:hint="eastAsia" w:cs="Arial"/>
                <w:szCs w:val="21"/>
              </w:rPr>
            </w:pPr>
          </w:p>
        </w:tc>
        <w:tc>
          <w:tcPr>
            <w:tcW w:w="1875" w:type="dxa"/>
            <w:vAlign w:val="center"/>
          </w:tcPr>
          <w:p w14:paraId="5336B48C">
            <w:pPr>
              <w:ind w:firstLine="420"/>
              <w:contextualSpacing/>
              <w:jc w:val="center"/>
              <w:rPr>
                <w:rFonts w:hint="eastAsia" w:cs="Arial"/>
                <w:szCs w:val="21"/>
              </w:rPr>
            </w:pPr>
          </w:p>
        </w:tc>
        <w:tc>
          <w:tcPr>
            <w:tcW w:w="1232" w:type="dxa"/>
            <w:vAlign w:val="center"/>
          </w:tcPr>
          <w:p w14:paraId="74B94403">
            <w:pPr>
              <w:ind w:firstLine="420"/>
              <w:contextualSpacing/>
              <w:jc w:val="center"/>
              <w:rPr>
                <w:rFonts w:hint="eastAsia" w:cs="Arial"/>
                <w:szCs w:val="21"/>
              </w:rPr>
            </w:pPr>
          </w:p>
        </w:tc>
        <w:tc>
          <w:tcPr>
            <w:tcW w:w="2413" w:type="dxa"/>
            <w:vAlign w:val="center"/>
          </w:tcPr>
          <w:p w14:paraId="027314A4">
            <w:pPr>
              <w:ind w:firstLine="420"/>
              <w:contextualSpacing/>
              <w:jc w:val="center"/>
              <w:rPr>
                <w:rFonts w:hint="eastAsia" w:cs="Arial"/>
                <w:szCs w:val="21"/>
              </w:rPr>
            </w:pPr>
          </w:p>
        </w:tc>
        <w:tc>
          <w:tcPr>
            <w:tcW w:w="3082" w:type="dxa"/>
            <w:vAlign w:val="center"/>
          </w:tcPr>
          <w:p w14:paraId="13EB7A46">
            <w:pPr>
              <w:ind w:firstLine="420"/>
              <w:contextualSpacing/>
              <w:jc w:val="center"/>
              <w:rPr>
                <w:rFonts w:hint="eastAsia" w:cs="Arial"/>
                <w:szCs w:val="21"/>
              </w:rPr>
            </w:pPr>
          </w:p>
        </w:tc>
      </w:tr>
      <w:tr w14:paraId="1616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6743805C">
            <w:pPr>
              <w:ind w:firstLine="420"/>
              <w:contextualSpacing/>
              <w:jc w:val="center"/>
              <w:rPr>
                <w:rFonts w:hint="eastAsia" w:cs="Arial"/>
                <w:szCs w:val="21"/>
              </w:rPr>
            </w:pPr>
          </w:p>
        </w:tc>
        <w:tc>
          <w:tcPr>
            <w:tcW w:w="1875" w:type="dxa"/>
            <w:vAlign w:val="center"/>
          </w:tcPr>
          <w:p w14:paraId="23A02DC1">
            <w:pPr>
              <w:ind w:firstLine="420"/>
              <w:contextualSpacing/>
              <w:jc w:val="center"/>
              <w:rPr>
                <w:rFonts w:hint="eastAsia" w:cs="Arial"/>
                <w:szCs w:val="21"/>
              </w:rPr>
            </w:pPr>
          </w:p>
        </w:tc>
        <w:tc>
          <w:tcPr>
            <w:tcW w:w="1232" w:type="dxa"/>
            <w:vAlign w:val="center"/>
          </w:tcPr>
          <w:p w14:paraId="530800E8">
            <w:pPr>
              <w:ind w:firstLine="420"/>
              <w:contextualSpacing/>
              <w:jc w:val="center"/>
              <w:rPr>
                <w:rFonts w:hint="eastAsia" w:cs="Arial"/>
                <w:szCs w:val="21"/>
              </w:rPr>
            </w:pPr>
          </w:p>
        </w:tc>
        <w:tc>
          <w:tcPr>
            <w:tcW w:w="2413" w:type="dxa"/>
            <w:vAlign w:val="center"/>
          </w:tcPr>
          <w:p w14:paraId="75179C2B">
            <w:pPr>
              <w:ind w:firstLine="420"/>
              <w:contextualSpacing/>
              <w:jc w:val="center"/>
              <w:rPr>
                <w:rFonts w:hint="eastAsia" w:cs="Arial"/>
                <w:szCs w:val="21"/>
              </w:rPr>
            </w:pPr>
          </w:p>
        </w:tc>
        <w:tc>
          <w:tcPr>
            <w:tcW w:w="3082" w:type="dxa"/>
            <w:vAlign w:val="center"/>
          </w:tcPr>
          <w:p w14:paraId="25CF204C">
            <w:pPr>
              <w:ind w:firstLine="420"/>
              <w:contextualSpacing/>
              <w:jc w:val="center"/>
              <w:rPr>
                <w:rFonts w:hint="eastAsia" w:cs="Arial"/>
                <w:szCs w:val="21"/>
              </w:rPr>
            </w:pPr>
          </w:p>
        </w:tc>
      </w:tr>
      <w:tr w14:paraId="3FA7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04F864F0">
            <w:pPr>
              <w:ind w:firstLine="420"/>
              <w:contextualSpacing/>
              <w:jc w:val="center"/>
              <w:rPr>
                <w:rFonts w:hint="eastAsia" w:cs="Arial"/>
                <w:szCs w:val="21"/>
              </w:rPr>
            </w:pPr>
          </w:p>
        </w:tc>
        <w:tc>
          <w:tcPr>
            <w:tcW w:w="1875" w:type="dxa"/>
            <w:vAlign w:val="center"/>
          </w:tcPr>
          <w:p w14:paraId="4844FF6A">
            <w:pPr>
              <w:ind w:firstLine="420"/>
              <w:contextualSpacing/>
              <w:jc w:val="center"/>
              <w:rPr>
                <w:rFonts w:hint="eastAsia" w:cs="Arial"/>
                <w:szCs w:val="21"/>
              </w:rPr>
            </w:pPr>
          </w:p>
        </w:tc>
        <w:tc>
          <w:tcPr>
            <w:tcW w:w="1232" w:type="dxa"/>
            <w:vAlign w:val="center"/>
          </w:tcPr>
          <w:p w14:paraId="1A075024">
            <w:pPr>
              <w:ind w:firstLine="420"/>
              <w:contextualSpacing/>
              <w:jc w:val="center"/>
              <w:rPr>
                <w:rFonts w:hint="eastAsia" w:cs="Arial"/>
                <w:szCs w:val="21"/>
              </w:rPr>
            </w:pPr>
          </w:p>
        </w:tc>
        <w:tc>
          <w:tcPr>
            <w:tcW w:w="2413" w:type="dxa"/>
            <w:vAlign w:val="center"/>
          </w:tcPr>
          <w:p w14:paraId="259A2542">
            <w:pPr>
              <w:ind w:firstLine="420"/>
              <w:contextualSpacing/>
              <w:jc w:val="center"/>
              <w:rPr>
                <w:rFonts w:hint="eastAsia" w:cs="Arial"/>
                <w:szCs w:val="21"/>
              </w:rPr>
            </w:pPr>
          </w:p>
        </w:tc>
        <w:tc>
          <w:tcPr>
            <w:tcW w:w="3082" w:type="dxa"/>
            <w:vAlign w:val="center"/>
          </w:tcPr>
          <w:p w14:paraId="259426F3">
            <w:pPr>
              <w:ind w:firstLine="420"/>
              <w:contextualSpacing/>
              <w:jc w:val="center"/>
              <w:rPr>
                <w:rFonts w:hint="eastAsia" w:cs="Arial"/>
                <w:szCs w:val="21"/>
              </w:rPr>
            </w:pPr>
          </w:p>
        </w:tc>
      </w:tr>
      <w:tr w14:paraId="419C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05CB2D75">
            <w:pPr>
              <w:ind w:firstLine="420"/>
              <w:contextualSpacing/>
              <w:jc w:val="center"/>
              <w:rPr>
                <w:rFonts w:hint="eastAsia" w:cs="Arial"/>
                <w:szCs w:val="21"/>
              </w:rPr>
            </w:pPr>
          </w:p>
        </w:tc>
        <w:tc>
          <w:tcPr>
            <w:tcW w:w="1875" w:type="dxa"/>
            <w:vAlign w:val="center"/>
          </w:tcPr>
          <w:p w14:paraId="5E9B8864">
            <w:pPr>
              <w:ind w:firstLine="420"/>
              <w:contextualSpacing/>
              <w:jc w:val="center"/>
              <w:rPr>
                <w:rFonts w:hint="eastAsia" w:cs="Arial"/>
                <w:szCs w:val="21"/>
              </w:rPr>
            </w:pPr>
          </w:p>
        </w:tc>
        <w:tc>
          <w:tcPr>
            <w:tcW w:w="1232" w:type="dxa"/>
            <w:vAlign w:val="center"/>
          </w:tcPr>
          <w:p w14:paraId="0FCC4896">
            <w:pPr>
              <w:ind w:firstLine="420"/>
              <w:contextualSpacing/>
              <w:jc w:val="center"/>
              <w:rPr>
                <w:rFonts w:hint="eastAsia" w:cs="Arial"/>
                <w:szCs w:val="21"/>
              </w:rPr>
            </w:pPr>
          </w:p>
        </w:tc>
        <w:tc>
          <w:tcPr>
            <w:tcW w:w="2413" w:type="dxa"/>
            <w:vAlign w:val="center"/>
          </w:tcPr>
          <w:p w14:paraId="2B095751">
            <w:pPr>
              <w:ind w:firstLine="420"/>
              <w:contextualSpacing/>
              <w:jc w:val="center"/>
              <w:rPr>
                <w:rFonts w:hint="eastAsia" w:cs="Arial"/>
                <w:szCs w:val="21"/>
              </w:rPr>
            </w:pPr>
          </w:p>
        </w:tc>
        <w:tc>
          <w:tcPr>
            <w:tcW w:w="3082" w:type="dxa"/>
            <w:vAlign w:val="center"/>
          </w:tcPr>
          <w:p w14:paraId="20679A71">
            <w:pPr>
              <w:ind w:firstLine="420"/>
              <w:contextualSpacing/>
              <w:jc w:val="center"/>
              <w:rPr>
                <w:rFonts w:hint="eastAsia" w:cs="Arial"/>
                <w:szCs w:val="21"/>
              </w:rPr>
            </w:pPr>
          </w:p>
        </w:tc>
      </w:tr>
      <w:tr w14:paraId="0133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2F4B4D18">
            <w:pPr>
              <w:ind w:firstLine="420"/>
              <w:contextualSpacing/>
              <w:jc w:val="center"/>
              <w:rPr>
                <w:rFonts w:hint="eastAsia" w:cs="Arial"/>
                <w:szCs w:val="21"/>
              </w:rPr>
            </w:pPr>
          </w:p>
        </w:tc>
        <w:tc>
          <w:tcPr>
            <w:tcW w:w="1875" w:type="dxa"/>
            <w:vAlign w:val="center"/>
          </w:tcPr>
          <w:p w14:paraId="76D96ACE">
            <w:pPr>
              <w:ind w:firstLine="420"/>
              <w:contextualSpacing/>
              <w:jc w:val="center"/>
              <w:rPr>
                <w:rFonts w:hint="eastAsia" w:cs="Arial"/>
                <w:szCs w:val="21"/>
              </w:rPr>
            </w:pPr>
          </w:p>
        </w:tc>
        <w:tc>
          <w:tcPr>
            <w:tcW w:w="1232" w:type="dxa"/>
            <w:vAlign w:val="center"/>
          </w:tcPr>
          <w:p w14:paraId="0DE35FEB">
            <w:pPr>
              <w:ind w:firstLine="420"/>
              <w:contextualSpacing/>
              <w:jc w:val="center"/>
              <w:rPr>
                <w:rFonts w:hint="eastAsia" w:cs="Arial"/>
                <w:szCs w:val="21"/>
              </w:rPr>
            </w:pPr>
          </w:p>
        </w:tc>
        <w:tc>
          <w:tcPr>
            <w:tcW w:w="2413" w:type="dxa"/>
            <w:vAlign w:val="center"/>
          </w:tcPr>
          <w:p w14:paraId="66E3703E">
            <w:pPr>
              <w:ind w:firstLine="420"/>
              <w:contextualSpacing/>
              <w:jc w:val="center"/>
              <w:rPr>
                <w:rFonts w:hint="eastAsia" w:cs="Arial"/>
                <w:szCs w:val="21"/>
              </w:rPr>
            </w:pPr>
          </w:p>
        </w:tc>
        <w:tc>
          <w:tcPr>
            <w:tcW w:w="3082" w:type="dxa"/>
            <w:vAlign w:val="center"/>
          </w:tcPr>
          <w:p w14:paraId="3E55EB5E">
            <w:pPr>
              <w:ind w:firstLine="420"/>
              <w:contextualSpacing/>
              <w:jc w:val="center"/>
              <w:rPr>
                <w:rFonts w:hint="eastAsia" w:cs="Arial"/>
                <w:szCs w:val="21"/>
              </w:rPr>
            </w:pPr>
          </w:p>
        </w:tc>
      </w:tr>
      <w:tr w14:paraId="7C37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25D4EF54">
            <w:pPr>
              <w:ind w:firstLine="420"/>
              <w:contextualSpacing/>
              <w:jc w:val="center"/>
              <w:rPr>
                <w:rFonts w:hint="eastAsia" w:cs="Arial"/>
                <w:szCs w:val="21"/>
              </w:rPr>
            </w:pPr>
          </w:p>
        </w:tc>
        <w:tc>
          <w:tcPr>
            <w:tcW w:w="1875" w:type="dxa"/>
            <w:vAlign w:val="center"/>
          </w:tcPr>
          <w:p w14:paraId="74EE37AA">
            <w:pPr>
              <w:ind w:firstLine="420"/>
              <w:contextualSpacing/>
              <w:jc w:val="center"/>
              <w:rPr>
                <w:rFonts w:hint="eastAsia" w:cs="Arial"/>
                <w:szCs w:val="21"/>
              </w:rPr>
            </w:pPr>
          </w:p>
        </w:tc>
        <w:tc>
          <w:tcPr>
            <w:tcW w:w="1232" w:type="dxa"/>
            <w:vAlign w:val="center"/>
          </w:tcPr>
          <w:p w14:paraId="71DA6B67">
            <w:pPr>
              <w:ind w:firstLine="420"/>
              <w:contextualSpacing/>
              <w:jc w:val="center"/>
              <w:rPr>
                <w:rFonts w:hint="eastAsia" w:cs="Arial"/>
                <w:szCs w:val="21"/>
              </w:rPr>
            </w:pPr>
          </w:p>
        </w:tc>
        <w:tc>
          <w:tcPr>
            <w:tcW w:w="2413" w:type="dxa"/>
            <w:vAlign w:val="center"/>
          </w:tcPr>
          <w:p w14:paraId="63575390">
            <w:pPr>
              <w:ind w:firstLine="420"/>
              <w:contextualSpacing/>
              <w:jc w:val="center"/>
              <w:rPr>
                <w:rFonts w:hint="eastAsia" w:cs="Arial"/>
                <w:szCs w:val="21"/>
              </w:rPr>
            </w:pPr>
          </w:p>
        </w:tc>
        <w:tc>
          <w:tcPr>
            <w:tcW w:w="3082" w:type="dxa"/>
            <w:vAlign w:val="center"/>
          </w:tcPr>
          <w:p w14:paraId="282DB2FA">
            <w:pPr>
              <w:ind w:firstLine="420"/>
              <w:contextualSpacing/>
              <w:jc w:val="center"/>
              <w:rPr>
                <w:rFonts w:hint="eastAsia" w:cs="Arial"/>
                <w:szCs w:val="21"/>
              </w:rPr>
            </w:pPr>
          </w:p>
        </w:tc>
      </w:tr>
      <w:tr w14:paraId="4237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054E13FC">
            <w:pPr>
              <w:ind w:firstLine="420"/>
              <w:contextualSpacing/>
              <w:jc w:val="center"/>
              <w:rPr>
                <w:rFonts w:hint="eastAsia" w:cs="Arial"/>
                <w:szCs w:val="21"/>
              </w:rPr>
            </w:pPr>
          </w:p>
        </w:tc>
        <w:tc>
          <w:tcPr>
            <w:tcW w:w="1875" w:type="dxa"/>
            <w:vAlign w:val="center"/>
          </w:tcPr>
          <w:p w14:paraId="1F614E24">
            <w:pPr>
              <w:ind w:firstLine="420"/>
              <w:contextualSpacing/>
              <w:jc w:val="center"/>
              <w:rPr>
                <w:rFonts w:hint="eastAsia" w:cs="Arial"/>
                <w:szCs w:val="21"/>
              </w:rPr>
            </w:pPr>
          </w:p>
        </w:tc>
        <w:tc>
          <w:tcPr>
            <w:tcW w:w="1232" w:type="dxa"/>
            <w:vAlign w:val="center"/>
          </w:tcPr>
          <w:p w14:paraId="72FF7944">
            <w:pPr>
              <w:ind w:firstLine="420"/>
              <w:contextualSpacing/>
              <w:jc w:val="center"/>
              <w:rPr>
                <w:rFonts w:hint="eastAsia" w:cs="Arial"/>
                <w:szCs w:val="21"/>
              </w:rPr>
            </w:pPr>
          </w:p>
        </w:tc>
        <w:tc>
          <w:tcPr>
            <w:tcW w:w="2413" w:type="dxa"/>
            <w:vAlign w:val="center"/>
          </w:tcPr>
          <w:p w14:paraId="4DDC1CC3">
            <w:pPr>
              <w:ind w:firstLine="420"/>
              <w:contextualSpacing/>
              <w:jc w:val="center"/>
              <w:rPr>
                <w:rFonts w:hint="eastAsia" w:cs="Arial"/>
                <w:szCs w:val="21"/>
              </w:rPr>
            </w:pPr>
          </w:p>
        </w:tc>
        <w:tc>
          <w:tcPr>
            <w:tcW w:w="3082" w:type="dxa"/>
            <w:vAlign w:val="center"/>
          </w:tcPr>
          <w:p w14:paraId="104856CF">
            <w:pPr>
              <w:ind w:firstLine="420"/>
              <w:contextualSpacing/>
              <w:jc w:val="center"/>
              <w:rPr>
                <w:rFonts w:hint="eastAsia" w:cs="Arial"/>
                <w:szCs w:val="21"/>
              </w:rPr>
            </w:pPr>
          </w:p>
        </w:tc>
      </w:tr>
      <w:tr w14:paraId="19EC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53376A49">
            <w:pPr>
              <w:ind w:firstLine="420"/>
              <w:contextualSpacing/>
              <w:jc w:val="center"/>
              <w:rPr>
                <w:rFonts w:hint="eastAsia" w:cs="Arial"/>
                <w:szCs w:val="21"/>
              </w:rPr>
            </w:pPr>
          </w:p>
        </w:tc>
        <w:tc>
          <w:tcPr>
            <w:tcW w:w="1875" w:type="dxa"/>
            <w:vAlign w:val="center"/>
          </w:tcPr>
          <w:p w14:paraId="0FF5464B">
            <w:pPr>
              <w:ind w:firstLine="420"/>
              <w:contextualSpacing/>
              <w:jc w:val="center"/>
              <w:rPr>
                <w:rFonts w:hint="eastAsia" w:cs="Arial"/>
                <w:szCs w:val="21"/>
              </w:rPr>
            </w:pPr>
          </w:p>
        </w:tc>
        <w:tc>
          <w:tcPr>
            <w:tcW w:w="1232" w:type="dxa"/>
            <w:vAlign w:val="center"/>
          </w:tcPr>
          <w:p w14:paraId="4F966192">
            <w:pPr>
              <w:ind w:firstLine="420"/>
              <w:contextualSpacing/>
              <w:jc w:val="center"/>
              <w:rPr>
                <w:rFonts w:hint="eastAsia" w:cs="Arial"/>
                <w:szCs w:val="21"/>
              </w:rPr>
            </w:pPr>
          </w:p>
        </w:tc>
        <w:tc>
          <w:tcPr>
            <w:tcW w:w="2413" w:type="dxa"/>
            <w:vAlign w:val="center"/>
          </w:tcPr>
          <w:p w14:paraId="5729EBF7">
            <w:pPr>
              <w:ind w:firstLine="420"/>
              <w:contextualSpacing/>
              <w:jc w:val="center"/>
              <w:rPr>
                <w:rFonts w:hint="eastAsia" w:cs="Arial"/>
                <w:szCs w:val="21"/>
              </w:rPr>
            </w:pPr>
          </w:p>
        </w:tc>
        <w:tc>
          <w:tcPr>
            <w:tcW w:w="3082" w:type="dxa"/>
            <w:vAlign w:val="center"/>
          </w:tcPr>
          <w:p w14:paraId="7E4E38F8">
            <w:pPr>
              <w:ind w:firstLine="420"/>
              <w:contextualSpacing/>
              <w:jc w:val="center"/>
              <w:rPr>
                <w:rFonts w:hint="eastAsia" w:cs="Arial"/>
                <w:szCs w:val="21"/>
              </w:rPr>
            </w:pPr>
          </w:p>
        </w:tc>
      </w:tr>
      <w:tr w14:paraId="03E8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21B40AE8">
            <w:pPr>
              <w:ind w:firstLine="420"/>
              <w:contextualSpacing/>
              <w:jc w:val="center"/>
              <w:rPr>
                <w:rFonts w:hint="eastAsia" w:cs="Arial"/>
                <w:szCs w:val="21"/>
              </w:rPr>
            </w:pPr>
          </w:p>
        </w:tc>
        <w:tc>
          <w:tcPr>
            <w:tcW w:w="1875" w:type="dxa"/>
            <w:vAlign w:val="center"/>
          </w:tcPr>
          <w:p w14:paraId="13133077">
            <w:pPr>
              <w:ind w:firstLine="420"/>
              <w:contextualSpacing/>
              <w:jc w:val="center"/>
              <w:rPr>
                <w:rFonts w:hint="eastAsia" w:cs="Arial"/>
                <w:szCs w:val="21"/>
              </w:rPr>
            </w:pPr>
          </w:p>
        </w:tc>
        <w:tc>
          <w:tcPr>
            <w:tcW w:w="1232" w:type="dxa"/>
            <w:vAlign w:val="center"/>
          </w:tcPr>
          <w:p w14:paraId="6236F1F6">
            <w:pPr>
              <w:ind w:firstLine="420"/>
              <w:contextualSpacing/>
              <w:jc w:val="center"/>
              <w:rPr>
                <w:rFonts w:hint="eastAsia" w:cs="Arial"/>
                <w:szCs w:val="21"/>
              </w:rPr>
            </w:pPr>
          </w:p>
        </w:tc>
        <w:tc>
          <w:tcPr>
            <w:tcW w:w="2413" w:type="dxa"/>
            <w:vAlign w:val="center"/>
          </w:tcPr>
          <w:p w14:paraId="70ED5510">
            <w:pPr>
              <w:ind w:firstLine="420"/>
              <w:contextualSpacing/>
              <w:jc w:val="center"/>
              <w:rPr>
                <w:rFonts w:hint="eastAsia" w:cs="Arial"/>
                <w:szCs w:val="21"/>
              </w:rPr>
            </w:pPr>
          </w:p>
        </w:tc>
        <w:tc>
          <w:tcPr>
            <w:tcW w:w="3082" w:type="dxa"/>
            <w:vAlign w:val="center"/>
          </w:tcPr>
          <w:p w14:paraId="5BE539D3">
            <w:pPr>
              <w:ind w:firstLine="420"/>
              <w:contextualSpacing/>
              <w:jc w:val="center"/>
              <w:rPr>
                <w:rFonts w:hint="eastAsia" w:cs="Arial"/>
                <w:szCs w:val="21"/>
              </w:rPr>
            </w:pPr>
          </w:p>
        </w:tc>
      </w:tr>
    </w:tbl>
    <w:p w14:paraId="5A6B0005">
      <w:pPr>
        <w:ind w:firstLine="420"/>
        <w:contextualSpacing/>
        <w:rPr>
          <w:rFonts w:hint="eastAsia" w:cs="Arial"/>
          <w:szCs w:val="21"/>
        </w:rPr>
        <w:sectPr>
          <w:headerReference r:id="rId11" w:type="default"/>
          <w:pgSz w:w="11911" w:h="16838"/>
          <w:pgMar w:top="1417" w:right="1134" w:bottom="1134" w:left="1134" w:header="737" w:footer="850" w:gutter="0"/>
          <w:cols w:space="0" w:num="1"/>
          <w:rtlGutter w:val="0"/>
          <w:docGrid w:linePitch="326" w:charSpace="0"/>
        </w:sectPr>
      </w:pPr>
    </w:p>
    <w:sdt>
      <w:sdtPr>
        <w:rPr>
          <w:rFonts w:ascii="宋体" w:hAnsi="宋体" w:eastAsia="宋体" w:cs="宋体"/>
          <w:b/>
          <w:bCs/>
          <w:sz w:val="32"/>
          <w:szCs w:val="36"/>
          <w:lang w:val="en-US" w:eastAsia="zh-CN" w:bidi="ar-SA"/>
        </w:rPr>
        <w:id w:val="147465310"/>
        <w15:color w:val="DBDBDB"/>
        <w:docPartObj>
          <w:docPartGallery w:val="Table of Contents"/>
          <w:docPartUnique/>
        </w:docPartObj>
      </w:sdtPr>
      <w:sdtEndPr>
        <w:rPr>
          <w:rFonts w:hint="eastAsia" w:ascii="宋体" w:hAnsi="宋体" w:eastAsia="宋体" w:cs="Arial"/>
          <w:b/>
          <w:bCs/>
          <w:sz w:val="21"/>
          <w:szCs w:val="21"/>
          <w:lang w:val="en-US" w:eastAsia="zh-CN" w:bidi="ar-SA"/>
        </w:rPr>
      </w:sdtEndPr>
      <w:sdtContent>
        <w:p w14:paraId="0EE7B97C">
          <w:pPr>
            <w:spacing w:before="0" w:beforeLines="0" w:after="0" w:afterLines="0" w:line="240" w:lineRule="auto"/>
            <w:ind w:left="0" w:leftChars="0" w:right="0" w:rightChars="0" w:firstLine="0" w:firstLineChars="0"/>
            <w:jc w:val="center"/>
            <w:rPr>
              <w:rFonts w:ascii="宋体" w:hAnsi="宋体" w:eastAsia="宋体"/>
              <w:b/>
              <w:bCs/>
              <w:sz w:val="32"/>
              <w:szCs w:val="36"/>
            </w:rPr>
          </w:pPr>
          <w:r>
            <w:rPr>
              <w:rFonts w:ascii="宋体" w:hAnsi="宋体" w:eastAsia="宋体"/>
              <w:b/>
              <w:bCs/>
              <w:sz w:val="32"/>
              <w:szCs w:val="36"/>
            </w:rPr>
            <w:t>目</w:t>
          </w:r>
          <w:r>
            <w:rPr>
              <w:rFonts w:hint="eastAsia" w:ascii="宋体" w:hAnsi="宋体" w:eastAsia="宋体"/>
              <w:b/>
              <w:bCs/>
              <w:sz w:val="32"/>
              <w:szCs w:val="36"/>
              <w:lang w:val="en-US" w:eastAsia="zh-CN"/>
            </w:rPr>
            <w:t xml:space="preserve">  </w:t>
          </w:r>
          <w:r>
            <w:rPr>
              <w:rFonts w:ascii="宋体" w:hAnsi="宋体" w:eastAsia="宋体"/>
              <w:b/>
              <w:bCs/>
              <w:sz w:val="32"/>
              <w:szCs w:val="36"/>
            </w:rPr>
            <w:t>录</w:t>
          </w:r>
        </w:p>
        <w:p w14:paraId="7874E49E">
          <w:pPr>
            <w:spacing w:before="0" w:beforeLines="0" w:after="0" w:afterLines="0" w:line="240" w:lineRule="auto"/>
            <w:ind w:left="0" w:leftChars="0" w:right="0" w:rightChars="0" w:firstLine="0" w:firstLineChars="0"/>
            <w:jc w:val="center"/>
            <w:rPr>
              <w:rFonts w:ascii="宋体" w:hAnsi="宋体" w:eastAsia="宋体"/>
              <w:sz w:val="21"/>
            </w:rPr>
          </w:pPr>
        </w:p>
        <w:p w14:paraId="27EC956E">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TOC \o "1-1" \h \u </w:instrText>
          </w:r>
          <w:r>
            <w:rPr>
              <w:rFonts w:hint="eastAsia" w:cs="Arial"/>
              <w:szCs w:val="21"/>
            </w:rPr>
            <w:fldChar w:fldCharType="separate"/>
          </w:r>
          <w:r>
            <w:rPr>
              <w:rFonts w:hint="eastAsia" w:cs="Arial"/>
              <w:szCs w:val="21"/>
            </w:rPr>
            <w:fldChar w:fldCharType="begin"/>
          </w:r>
          <w:r>
            <w:rPr>
              <w:rFonts w:hint="eastAsia" w:cs="Arial"/>
              <w:szCs w:val="21"/>
            </w:rPr>
            <w:instrText xml:space="preserve"> HYPERLINK \l _Toc21648 </w:instrText>
          </w:r>
          <w:r>
            <w:rPr>
              <w:rFonts w:hint="eastAsia" w:cs="Arial"/>
              <w:szCs w:val="21"/>
            </w:rPr>
            <w:fldChar w:fldCharType="separate"/>
          </w:r>
          <w:r>
            <w:rPr>
              <w:rFonts w:hint="eastAsia" w:ascii="Times New Roman" w:hAnsi="Times New Roman" w:cs="Times New Roman"/>
            </w:rPr>
            <w:t xml:space="preserve">1 </w:t>
          </w:r>
          <w:r>
            <w:rPr>
              <w:rFonts w:hint="default" w:ascii="Times New Roman" w:hAnsi="Times New Roman" w:cs="Times New Roman"/>
            </w:rPr>
            <w:t>目的和适用范围</w:t>
          </w:r>
          <w:r>
            <w:tab/>
          </w:r>
          <w:r>
            <w:fldChar w:fldCharType="begin"/>
          </w:r>
          <w:r>
            <w:instrText xml:space="preserve"> PAGEREF _Toc21648 \h </w:instrText>
          </w:r>
          <w:r>
            <w:fldChar w:fldCharType="separate"/>
          </w:r>
          <w:r>
            <w:t>1</w:t>
          </w:r>
          <w:r>
            <w:fldChar w:fldCharType="end"/>
          </w:r>
          <w:r>
            <w:rPr>
              <w:rFonts w:hint="eastAsia" w:cs="Arial"/>
              <w:szCs w:val="21"/>
            </w:rPr>
            <w:fldChar w:fldCharType="end"/>
          </w:r>
        </w:p>
        <w:p w14:paraId="68C95AC9">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_Toc979 </w:instrText>
          </w:r>
          <w:r>
            <w:rPr>
              <w:rFonts w:hint="eastAsia" w:cs="Arial"/>
              <w:szCs w:val="21"/>
            </w:rPr>
            <w:fldChar w:fldCharType="separate"/>
          </w:r>
          <w:r>
            <w:rPr>
              <w:rFonts w:hint="eastAsia" w:ascii="Times New Roman" w:hAnsi="Times New Roman" w:cs="Times New Roman"/>
            </w:rPr>
            <w:t xml:space="preserve">2 </w:t>
          </w:r>
          <w:r>
            <w:rPr>
              <w:rFonts w:hint="default" w:ascii="Times New Roman" w:hAnsi="Times New Roman" w:cs="Times New Roman"/>
            </w:rPr>
            <w:t>引用文件</w:t>
          </w:r>
          <w:r>
            <w:tab/>
          </w:r>
          <w:r>
            <w:fldChar w:fldCharType="begin"/>
          </w:r>
          <w:r>
            <w:instrText xml:space="preserve"> PAGEREF _Toc979 \h </w:instrText>
          </w:r>
          <w:r>
            <w:fldChar w:fldCharType="separate"/>
          </w:r>
          <w:r>
            <w:t>1</w:t>
          </w:r>
          <w:r>
            <w:fldChar w:fldCharType="end"/>
          </w:r>
          <w:r>
            <w:rPr>
              <w:rFonts w:hint="eastAsia" w:cs="Arial"/>
              <w:szCs w:val="21"/>
            </w:rPr>
            <w:fldChar w:fldCharType="end"/>
          </w:r>
        </w:p>
        <w:p w14:paraId="5B151988">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_Toc5815 </w:instrText>
          </w:r>
          <w:r>
            <w:rPr>
              <w:rFonts w:hint="eastAsia" w:cs="Arial"/>
              <w:szCs w:val="21"/>
            </w:rPr>
            <w:fldChar w:fldCharType="separate"/>
          </w:r>
          <w:r>
            <w:rPr>
              <w:rFonts w:hint="eastAsia" w:ascii="Times New Roman" w:hAnsi="Times New Roman" w:cs="Times New Roman"/>
            </w:rPr>
            <w:t xml:space="preserve">3 </w:t>
          </w:r>
          <w:r>
            <w:rPr>
              <w:rFonts w:hint="default" w:ascii="Times New Roman" w:hAnsi="Times New Roman" w:cs="Times New Roman"/>
            </w:rPr>
            <w:t>认证依据</w:t>
          </w:r>
          <w:r>
            <w:tab/>
          </w:r>
          <w:r>
            <w:fldChar w:fldCharType="begin"/>
          </w:r>
          <w:r>
            <w:instrText xml:space="preserve"> PAGEREF _Toc5815 \h </w:instrText>
          </w:r>
          <w:r>
            <w:fldChar w:fldCharType="separate"/>
          </w:r>
          <w:r>
            <w:t>1</w:t>
          </w:r>
          <w:r>
            <w:fldChar w:fldCharType="end"/>
          </w:r>
          <w:r>
            <w:rPr>
              <w:rFonts w:hint="eastAsia" w:cs="Arial"/>
              <w:szCs w:val="21"/>
            </w:rPr>
            <w:fldChar w:fldCharType="end"/>
          </w:r>
        </w:p>
        <w:p w14:paraId="7C91BF0A">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_Toc1910 </w:instrText>
          </w:r>
          <w:r>
            <w:rPr>
              <w:rFonts w:hint="eastAsia" w:cs="Arial"/>
              <w:szCs w:val="21"/>
            </w:rPr>
            <w:fldChar w:fldCharType="separate"/>
          </w:r>
          <w:r>
            <w:rPr>
              <w:rFonts w:hint="eastAsia" w:ascii="Times New Roman" w:hAnsi="Times New Roman" w:cs="Times New Roman"/>
            </w:rPr>
            <w:t xml:space="preserve">4 </w:t>
          </w:r>
          <w:r>
            <w:rPr>
              <w:rFonts w:hint="default" w:ascii="Times New Roman" w:hAnsi="Times New Roman" w:cs="Times New Roman"/>
            </w:rPr>
            <w:t>基本要求</w:t>
          </w:r>
          <w:r>
            <w:tab/>
          </w:r>
          <w:r>
            <w:fldChar w:fldCharType="begin"/>
          </w:r>
          <w:r>
            <w:instrText xml:space="preserve"> PAGEREF _Toc1910 \h </w:instrText>
          </w:r>
          <w:r>
            <w:fldChar w:fldCharType="separate"/>
          </w:r>
          <w:r>
            <w:t>1</w:t>
          </w:r>
          <w:r>
            <w:fldChar w:fldCharType="end"/>
          </w:r>
          <w:r>
            <w:rPr>
              <w:rFonts w:hint="eastAsia" w:cs="Arial"/>
              <w:szCs w:val="21"/>
            </w:rPr>
            <w:fldChar w:fldCharType="end"/>
          </w:r>
        </w:p>
        <w:p w14:paraId="6322DE7D">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_Toc22182 </w:instrText>
          </w:r>
          <w:r>
            <w:rPr>
              <w:rFonts w:hint="eastAsia" w:cs="Arial"/>
              <w:szCs w:val="21"/>
            </w:rPr>
            <w:fldChar w:fldCharType="separate"/>
          </w:r>
          <w:r>
            <w:rPr>
              <w:rFonts w:hint="eastAsia" w:ascii="Times New Roman" w:hAnsi="Times New Roman" w:cs="Times New Roman"/>
            </w:rPr>
            <w:t xml:space="preserve">5 </w:t>
          </w:r>
          <w:r>
            <w:rPr>
              <w:rFonts w:hint="default" w:ascii="Times New Roman" w:hAnsi="Times New Roman" w:cs="Times New Roman"/>
            </w:rPr>
            <w:t>认证人员</w:t>
          </w:r>
          <w:r>
            <w:tab/>
          </w:r>
          <w:r>
            <w:fldChar w:fldCharType="begin"/>
          </w:r>
          <w:r>
            <w:instrText xml:space="preserve"> PAGEREF _Toc22182 \h </w:instrText>
          </w:r>
          <w:r>
            <w:fldChar w:fldCharType="separate"/>
          </w:r>
          <w:r>
            <w:t>1</w:t>
          </w:r>
          <w:r>
            <w:fldChar w:fldCharType="end"/>
          </w:r>
          <w:r>
            <w:rPr>
              <w:rFonts w:hint="eastAsia" w:cs="Arial"/>
              <w:szCs w:val="21"/>
            </w:rPr>
            <w:fldChar w:fldCharType="end"/>
          </w:r>
        </w:p>
        <w:p w14:paraId="62D9688A">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_Toc27584 </w:instrText>
          </w:r>
          <w:r>
            <w:rPr>
              <w:rFonts w:hint="eastAsia" w:cs="Arial"/>
              <w:szCs w:val="21"/>
            </w:rPr>
            <w:fldChar w:fldCharType="separate"/>
          </w:r>
          <w:r>
            <w:rPr>
              <w:rFonts w:hint="eastAsia" w:ascii="Times New Roman" w:hAnsi="Times New Roman" w:cs="Times New Roman"/>
            </w:rPr>
            <w:t xml:space="preserve">6 </w:t>
          </w:r>
          <w:r>
            <w:rPr>
              <w:rFonts w:hint="default" w:ascii="Times New Roman" w:hAnsi="Times New Roman" w:cs="Times New Roman"/>
            </w:rPr>
            <w:t>认证申请</w:t>
          </w:r>
          <w:r>
            <w:tab/>
          </w:r>
          <w:r>
            <w:fldChar w:fldCharType="begin"/>
          </w:r>
          <w:r>
            <w:instrText xml:space="preserve"> PAGEREF _Toc27584 \h </w:instrText>
          </w:r>
          <w:r>
            <w:fldChar w:fldCharType="separate"/>
          </w:r>
          <w:r>
            <w:t>2</w:t>
          </w:r>
          <w:r>
            <w:fldChar w:fldCharType="end"/>
          </w:r>
          <w:r>
            <w:rPr>
              <w:rFonts w:hint="eastAsia" w:cs="Arial"/>
              <w:szCs w:val="21"/>
            </w:rPr>
            <w:fldChar w:fldCharType="end"/>
          </w:r>
        </w:p>
        <w:p w14:paraId="564A3540">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_Toc12198 </w:instrText>
          </w:r>
          <w:r>
            <w:rPr>
              <w:rFonts w:hint="eastAsia" w:cs="Arial"/>
              <w:szCs w:val="21"/>
            </w:rPr>
            <w:fldChar w:fldCharType="separate"/>
          </w:r>
          <w:r>
            <w:rPr>
              <w:rFonts w:hint="eastAsia" w:ascii="Times New Roman" w:hAnsi="Times New Roman" w:cs="Times New Roman"/>
            </w:rPr>
            <w:t xml:space="preserve">7 </w:t>
          </w:r>
          <w:r>
            <w:rPr>
              <w:rFonts w:hint="default" w:ascii="Times New Roman" w:hAnsi="Times New Roman" w:cs="Times New Roman"/>
            </w:rPr>
            <w:t>认证策划</w:t>
          </w:r>
          <w:r>
            <w:tab/>
          </w:r>
          <w:r>
            <w:fldChar w:fldCharType="begin"/>
          </w:r>
          <w:r>
            <w:instrText xml:space="preserve"> PAGEREF _Toc12198 \h </w:instrText>
          </w:r>
          <w:r>
            <w:fldChar w:fldCharType="separate"/>
          </w:r>
          <w:r>
            <w:t>3</w:t>
          </w:r>
          <w:r>
            <w:fldChar w:fldCharType="end"/>
          </w:r>
          <w:r>
            <w:rPr>
              <w:rFonts w:hint="eastAsia" w:cs="Arial"/>
              <w:szCs w:val="21"/>
            </w:rPr>
            <w:fldChar w:fldCharType="end"/>
          </w:r>
        </w:p>
        <w:p w14:paraId="26D4A6ED">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_Toc30917 </w:instrText>
          </w:r>
          <w:r>
            <w:rPr>
              <w:rFonts w:hint="eastAsia" w:cs="Arial"/>
              <w:szCs w:val="21"/>
            </w:rPr>
            <w:fldChar w:fldCharType="separate"/>
          </w:r>
          <w:r>
            <w:rPr>
              <w:rFonts w:hint="eastAsia" w:ascii="Times New Roman" w:hAnsi="Times New Roman" w:cs="Times New Roman"/>
            </w:rPr>
            <w:t xml:space="preserve">8 </w:t>
          </w:r>
          <w:r>
            <w:rPr>
              <w:rFonts w:hint="default" w:ascii="Times New Roman" w:hAnsi="Times New Roman" w:cs="Times New Roman"/>
            </w:rPr>
            <w:t>审核实施</w:t>
          </w:r>
          <w:r>
            <w:tab/>
          </w:r>
          <w:r>
            <w:fldChar w:fldCharType="begin"/>
          </w:r>
          <w:r>
            <w:instrText xml:space="preserve"> PAGEREF _Toc30917 \h </w:instrText>
          </w:r>
          <w:r>
            <w:fldChar w:fldCharType="separate"/>
          </w:r>
          <w:r>
            <w:t>4</w:t>
          </w:r>
          <w:r>
            <w:fldChar w:fldCharType="end"/>
          </w:r>
          <w:r>
            <w:rPr>
              <w:rFonts w:hint="eastAsia" w:cs="Arial"/>
              <w:szCs w:val="21"/>
            </w:rPr>
            <w:fldChar w:fldCharType="end"/>
          </w:r>
        </w:p>
        <w:p w14:paraId="6E3B2E15">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_Toc17317 </w:instrText>
          </w:r>
          <w:r>
            <w:rPr>
              <w:rFonts w:hint="eastAsia" w:cs="Arial"/>
              <w:szCs w:val="21"/>
            </w:rPr>
            <w:fldChar w:fldCharType="separate"/>
          </w:r>
          <w:r>
            <w:rPr>
              <w:rFonts w:hint="eastAsia" w:ascii="Times New Roman" w:hAnsi="Times New Roman" w:cs="Times New Roman"/>
            </w:rPr>
            <w:t xml:space="preserve">9 </w:t>
          </w:r>
          <w:r>
            <w:rPr>
              <w:rFonts w:hint="default" w:ascii="Times New Roman" w:hAnsi="Times New Roman" w:cs="Times New Roman"/>
            </w:rPr>
            <w:t>不符合纠正的验证</w:t>
          </w:r>
          <w:r>
            <w:tab/>
          </w:r>
          <w:r>
            <w:fldChar w:fldCharType="begin"/>
          </w:r>
          <w:r>
            <w:instrText xml:space="preserve"> PAGEREF _Toc17317 \h </w:instrText>
          </w:r>
          <w:r>
            <w:fldChar w:fldCharType="separate"/>
          </w:r>
          <w:r>
            <w:t>5</w:t>
          </w:r>
          <w:r>
            <w:fldChar w:fldCharType="end"/>
          </w:r>
          <w:r>
            <w:rPr>
              <w:rFonts w:hint="eastAsia" w:cs="Arial"/>
              <w:szCs w:val="21"/>
            </w:rPr>
            <w:fldChar w:fldCharType="end"/>
          </w:r>
        </w:p>
        <w:p w14:paraId="20323509">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_Toc577 </w:instrText>
          </w:r>
          <w:r>
            <w:rPr>
              <w:rFonts w:hint="eastAsia" w:cs="Arial"/>
              <w:szCs w:val="21"/>
            </w:rPr>
            <w:fldChar w:fldCharType="separate"/>
          </w:r>
          <w:r>
            <w:rPr>
              <w:rFonts w:hint="eastAsia" w:ascii="Times New Roman" w:hAnsi="Times New Roman" w:cs="Times New Roman"/>
            </w:rPr>
            <w:t xml:space="preserve">10 </w:t>
          </w:r>
          <w:r>
            <w:rPr>
              <w:rFonts w:hint="default" w:ascii="Times New Roman" w:hAnsi="Times New Roman" w:cs="Times New Roman"/>
            </w:rPr>
            <w:t>审核报告</w:t>
          </w:r>
          <w:r>
            <w:tab/>
          </w:r>
          <w:r>
            <w:fldChar w:fldCharType="begin"/>
          </w:r>
          <w:r>
            <w:instrText xml:space="preserve"> PAGEREF _Toc577 \h </w:instrText>
          </w:r>
          <w:r>
            <w:fldChar w:fldCharType="separate"/>
          </w:r>
          <w:r>
            <w:t>5</w:t>
          </w:r>
          <w:r>
            <w:fldChar w:fldCharType="end"/>
          </w:r>
          <w:r>
            <w:rPr>
              <w:rFonts w:hint="eastAsia" w:cs="Arial"/>
              <w:szCs w:val="21"/>
            </w:rPr>
            <w:fldChar w:fldCharType="end"/>
          </w:r>
        </w:p>
        <w:p w14:paraId="3C2BBE77">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_Toc29414 </w:instrText>
          </w:r>
          <w:r>
            <w:rPr>
              <w:rFonts w:hint="eastAsia" w:cs="Arial"/>
              <w:szCs w:val="21"/>
            </w:rPr>
            <w:fldChar w:fldCharType="separate"/>
          </w:r>
          <w:r>
            <w:rPr>
              <w:rFonts w:hint="eastAsia" w:ascii="Times New Roman" w:hAnsi="Times New Roman" w:cs="Times New Roman"/>
            </w:rPr>
            <w:t xml:space="preserve">11 </w:t>
          </w:r>
          <w:r>
            <w:rPr>
              <w:rFonts w:hint="default" w:ascii="Times New Roman" w:hAnsi="Times New Roman" w:cs="Times New Roman"/>
            </w:rPr>
            <w:t>认证决定</w:t>
          </w:r>
          <w:r>
            <w:tab/>
          </w:r>
          <w:r>
            <w:fldChar w:fldCharType="begin"/>
          </w:r>
          <w:r>
            <w:instrText xml:space="preserve"> PAGEREF _Toc29414 \h </w:instrText>
          </w:r>
          <w:r>
            <w:fldChar w:fldCharType="separate"/>
          </w:r>
          <w:r>
            <w:t>5</w:t>
          </w:r>
          <w:r>
            <w:fldChar w:fldCharType="end"/>
          </w:r>
          <w:r>
            <w:rPr>
              <w:rFonts w:hint="eastAsia" w:cs="Arial"/>
              <w:szCs w:val="21"/>
            </w:rPr>
            <w:fldChar w:fldCharType="end"/>
          </w:r>
        </w:p>
        <w:p w14:paraId="7B25CDFC">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_Toc15610 </w:instrText>
          </w:r>
          <w:r>
            <w:rPr>
              <w:rFonts w:hint="eastAsia" w:cs="Arial"/>
              <w:szCs w:val="21"/>
            </w:rPr>
            <w:fldChar w:fldCharType="separate"/>
          </w:r>
          <w:r>
            <w:rPr>
              <w:rFonts w:hint="eastAsia" w:ascii="Times New Roman" w:hAnsi="Times New Roman" w:cs="Times New Roman"/>
            </w:rPr>
            <w:t xml:space="preserve">12 </w:t>
          </w:r>
          <w:r>
            <w:rPr>
              <w:rFonts w:hint="default" w:ascii="Times New Roman" w:hAnsi="Times New Roman" w:cs="Times New Roman"/>
            </w:rPr>
            <w:t>企业诚信管理体系认证证书</w:t>
          </w:r>
          <w:r>
            <w:tab/>
          </w:r>
          <w:r>
            <w:fldChar w:fldCharType="begin"/>
          </w:r>
          <w:r>
            <w:instrText xml:space="preserve"> PAGEREF _Toc15610 \h </w:instrText>
          </w:r>
          <w:r>
            <w:fldChar w:fldCharType="separate"/>
          </w:r>
          <w:r>
            <w:t>6</w:t>
          </w:r>
          <w:r>
            <w:fldChar w:fldCharType="end"/>
          </w:r>
          <w:r>
            <w:rPr>
              <w:rFonts w:hint="eastAsia" w:cs="Arial"/>
              <w:szCs w:val="21"/>
            </w:rPr>
            <w:fldChar w:fldCharType="end"/>
          </w:r>
        </w:p>
        <w:p w14:paraId="11BE991E">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_Toc26212 </w:instrText>
          </w:r>
          <w:r>
            <w:rPr>
              <w:rFonts w:hint="eastAsia" w:cs="Arial"/>
              <w:szCs w:val="21"/>
            </w:rPr>
            <w:fldChar w:fldCharType="separate"/>
          </w:r>
          <w:r>
            <w:rPr>
              <w:rFonts w:hint="eastAsia" w:ascii="Times New Roman" w:hAnsi="Times New Roman" w:cs="Times New Roman"/>
            </w:rPr>
            <w:t xml:space="preserve">13 </w:t>
          </w:r>
          <w:r>
            <w:rPr>
              <w:rFonts w:hint="default" w:ascii="Times New Roman" w:hAnsi="Times New Roman" w:cs="Times New Roman"/>
            </w:rPr>
            <w:t>企业诚信管理体系认证证书的暂停和撤销</w:t>
          </w:r>
          <w:r>
            <w:tab/>
          </w:r>
          <w:r>
            <w:fldChar w:fldCharType="begin"/>
          </w:r>
          <w:r>
            <w:instrText xml:space="preserve"> PAGEREF _Toc26212 \h </w:instrText>
          </w:r>
          <w:r>
            <w:fldChar w:fldCharType="separate"/>
          </w:r>
          <w:r>
            <w:t>6</w:t>
          </w:r>
          <w:r>
            <w:fldChar w:fldCharType="end"/>
          </w:r>
          <w:r>
            <w:rPr>
              <w:rFonts w:hint="eastAsia" w:cs="Arial"/>
              <w:szCs w:val="21"/>
            </w:rPr>
            <w:fldChar w:fldCharType="end"/>
          </w:r>
        </w:p>
        <w:p w14:paraId="351D9284">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_Toc36 </w:instrText>
          </w:r>
          <w:r>
            <w:rPr>
              <w:rFonts w:hint="eastAsia" w:cs="Arial"/>
              <w:szCs w:val="21"/>
            </w:rPr>
            <w:fldChar w:fldCharType="separate"/>
          </w:r>
          <w:r>
            <w:rPr>
              <w:rFonts w:hint="eastAsia" w:ascii="Times New Roman" w:hAnsi="Times New Roman" w:cs="Times New Roman"/>
            </w:rPr>
            <w:t xml:space="preserve">14 </w:t>
          </w:r>
          <w:r>
            <w:rPr>
              <w:rFonts w:hint="default" w:ascii="Times New Roman" w:hAnsi="Times New Roman" w:cs="Times New Roman"/>
            </w:rPr>
            <w:t>申诉、投诉处理</w:t>
          </w:r>
          <w:r>
            <w:tab/>
          </w:r>
          <w:r>
            <w:fldChar w:fldCharType="begin"/>
          </w:r>
          <w:r>
            <w:instrText xml:space="preserve"> PAGEREF _Toc36 \h </w:instrText>
          </w:r>
          <w:r>
            <w:fldChar w:fldCharType="separate"/>
          </w:r>
          <w:r>
            <w:t>7</w:t>
          </w:r>
          <w:r>
            <w:fldChar w:fldCharType="end"/>
          </w:r>
          <w:r>
            <w:rPr>
              <w:rFonts w:hint="eastAsia" w:cs="Arial"/>
              <w:szCs w:val="21"/>
            </w:rPr>
            <w:fldChar w:fldCharType="end"/>
          </w:r>
        </w:p>
        <w:p w14:paraId="2087BCA9">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_Toc10781 </w:instrText>
          </w:r>
          <w:r>
            <w:rPr>
              <w:rFonts w:hint="eastAsia" w:cs="Arial"/>
              <w:szCs w:val="21"/>
            </w:rPr>
            <w:fldChar w:fldCharType="separate"/>
          </w:r>
          <w:r>
            <w:rPr>
              <w:rFonts w:hint="eastAsia" w:ascii="Times New Roman" w:hAnsi="Times New Roman" w:cs="Times New Roman"/>
            </w:rPr>
            <w:t xml:space="preserve">15 </w:t>
          </w:r>
          <w:r>
            <w:rPr>
              <w:rFonts w:hint="default" w:ascii="Times New Roman" w:hAnsi="Times New Roman" w:cs="Times New Roman"/>
            </w:rPr>
            <w:t>记录</w:t>
          </w:r>
          <w:r>
            <w:tab/>
          </w:r>
          <w:r>
            <w:fldChar w:fldCharType="begin"/>
          </w:r>
          <w:r>
            <w:instrText xml:space="preserve"> PAGEREF _Toc10781 \h </w:instrText>
          </w:r>
          <w:r>
            <w:fldChar w:fldCharType="separate"/>
          </w:r>
          <w:r>
            <w:t>7</w:t>
          </w:r>
          <w:r>
            <w:fldChar w:fldCharType="end"/>
          </w:r>
          <w:r>
            <w:rPr>
              <w:rFonts w:hint="eastAsia" w:cs="Arial"/>
              <w:szCs w:val="21"/>
            </w:rPr>
            <w:fldChar w:fldCharType="end"/>
          </w:r>
        </w:p>
        <w:p w14:paraId="3A1A891A">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_Toc23283 </w:instrText>
          </w:r>
          <w:r>
            <w:rPr>
              <w:rFonts w:hint="eastAsia" w:cs="Arial"/>
              <w:szCs w:val="21"/>
            </w:rPr>
            <w:fldChar w:fldCharType="separate"/>
          </w:r>
          <w:r>
            <w:rPr>
              <w:rFonts w:hint="eastAsia"/>
            </w:rPr>
            <w:t>附件</w:t>
          </w:r>
          <w:r>
            <w:rPr>
              <w:rFonts w:hint="eastAsia"/>
              <w:lang w:val="en-US" w:eastAsia="zh-CN"/>
            </w:rPr>
            <w:t>一</w:t>
          </w:r>
          <w:r>
            <w:rPr>
              <w:rFonts w:hint="eastAsia" w:cs="Arial"/>
              <w:szCs w:val="21"/>
            </w:rPr>
            <w:fldChar w:fldCharType="end"/>
          </w:r>
          <w:r>
            <w:rPr>
              <w:rFonts w:hint="eastAsia" w:cs="Arial"/>
              <w:szCs w:val="21"/>
              <w:lang w:val="en-US" w:eastAsia="zh-CN"/>
            </w:rPr>
            <w:t xml:space="preserve"> </w:t>
          </w:r>
          <w:r>
            <w:rPr>
              <w:rFonts w:hint="eastAsia" w:cs="Arial"/>
              <w:szCs w:val="21"/>
            </w:rPr>
            <w:fldChar w:fldCharType="begin"/>
          </w:r>
          <w:r>
            <w:rPr>
              <w:rFonts w:hint="eastAsia" w:cs="Arial"/>
              <w:szCs w:val="21"/>
            </w:rPr>
            <w:instrText xml:space="preserve"> HYPERLINK \l _Toc16095 </w:instrText>
          </w:r>
          <w:r>
            <w:rPr>
              <w:rFonts w:hint="eastAsia" w:cs="Arial"/>
              <w:szCs w:val="21"/>
            </w:rPr>
            <w:fldChar w:fldCharType="separate"/>
          </w:r>
          <w:r>
            <w:rPr>
              <w:rFonts w:hint="eastAsia"/>
              <w:lang w:val="en-US" w:eastAsia="zh-CN"/>
            </w:rPr>
            <w:t>认证人日数表</w:t>
          </w:r>
          <w:r>
            <w:tab/>
          </w:r>
          <w:r>
            <w:fldChar w:fldCharType="begin"/>
          </w:r>
          <w:r>
            <w:instrText xml:space="preserve"> PAGEREF _Toc16095 \h </w:instrText>
          </w:r>
          <w:r>
            <w:fldChar w:fldCharType="separate"/>
          </w:r>
          <w:r>
            <w:t>9</w:t>
          </w:r>
          <w:r>
            <w:fldChar w:fldCharType="end"/>
          </w:r>
          <w:r>
            <w:rPr>
              <w:rFonts w:hint="eastAsia" w:cs="Arial"/>
              <w:szCs w:val="21"/>
            </w:rPr>
            <w:fldChar w:fldCharType="end"/>
          </w:r>
        </w:p>
        <w:p w14:paraId="36973EAE">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_Toc26564 </w:instrText>
          </w:r>
          <w:r>
            <w:rPr>
              <w:rFonts w:hint="eastAsia" w:cs="Arial"/>
              <w:szCs w:val="21"/>
            </w:rPr>
            <w:fldChar w:fldCharType="separate"/>
          </w:r>
          <w:r>
            <w:rPr>
              <w:rFonts w:hint="eastAsia"/>
              <w:lang w:val="en-US" w:eastAsia="zh-CN"/>
            </w:rPr>
            <w:t>附件二</w:t>
          </w:r>
          <w:r>
            <w:rPr>
              <w:rFonts w:hint="eastAsia" w:cs="Arial"/>
              <w:szCs w:val="21"/>
            </w:rPr>
            <w:fldChar w:fldCharType="end"/>
          </w:r>
          <w:r>
            <w:rPr>
              <w:rFonts w:hint="eastAsia" w:cs="Arial"/>
              <w:szCs w:val="21"/>
              <w:lang w:val="en-US" w:eastAsia="zh-CN"/>
            </w:rPr>
            <w:t xml:space="preserve"> </w:t>
          </w:r>
          <w:r>
            <w:rPr>
              <w:rFonts w:hint="eastAsia" w:cs="Arial"/>
              <w:szCs w:val="21"/>
            </w:rPr>
            <w:fldChar w:fldCharType="begin"/>
          </w:r>
          <w:r>
            <w:rPr>
              <w:rFonts w:hint="eastAsia" w:cs="Arial"/>
              <w:szCs w:val="21"/>
            </w:rPr>
            <w:instrText xml:space="preserve"> HYPERLINK \l _Toc1867 </w:instrText>
          </w:r>
          <w:r>
            <w:rPr>
              <w:rFonts w:hint="eastAsia" w:cs="Arial"/>
              <w:szCs w:val="21"/>
            </w:rPr>
            <w:fldChar w:fldCharType="separate"/>
          </w:r>
          <w:r>
            <w:rPr>
              <w:rFonts w:hint="eastAsia"/>
              <w:lang w:val="en-US" w:eastAsia="zh-CN"/>
            </w:rPr>
            <w:t>机构</w:t>
          </w:r>
          <w:r>
            <w:rPr>
              <w:rFonts w:hint="eastAsia"/>
            </w:rPr>
            <w:t>认证</w:t>
          </w:r>
          <w:r>
            <w:rPr>
              <w:rFonts w:hint="eastAsia"/>
              <w:lang w:val="en-US" w:eastAsia="zh-CN"/>
            </w:rPr>
            <w:t>业务范围</w:t>
          </w:r>
          <w:r>
            <w:tab/>
          </w:r>
          <w:r>
            <w:fldChar w:fldCharType="begin"/>
          </w:r>
          <w:r>
            <w:instrText xml:space="preserve"> PAGEREF _Toc1867 \h </w:instrText>
          </w:r>
          <w:r>
            <w:fldChar w:fldCharType="separate"/>
          </w:r>
          <w:r>
            <w:t>10</w:t>
          </w:r>
          <w:r>
            <w:fldChar w:fldCharType="end"/>
          </w:r>
          <w:r>
            <w:rPr>
              <w:rFonts w:hint="eastAsia" w:cs="Arial"/>
              <w:szCs w:val="21"/>
            </w:rPr>
            <w:fldChar w:fldCharType="end"/>
          </w:r>
        </w:p>
        <w:p w14:paraId="12FAD3DD">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_Toc20866 </w:instrText>
          </w:r>
          <w:r>
            <w:rPr>
              <w:rFonts w:hint="eastAsia" w:cs="Arial"/>
              <w:szCs w:val="21"/>
            </w:rPr>
            <w:fldChar w:fldCharType="separate"/>
          </w:r>
          <w:r>
            <w:rPr>
              <w:rFonts w:hint="eastAsia"/>
            </w:rPr>
            <w:t>附件</w:t>
          </w:r>
          <w:r>
            <w:rPr>
              <w:rFonts w:hint="eastAsia"/>
              <w:lang w:val="en-US" w:eastAsia="zh-CN"/>
            </w:rPr>
            <w:t>三</w:t>
          </w:r>
          <w:r>
            <w:rPr>
              <w:rFonts w:hint="eastAsia" w:cs="Arial"/>
              <w:szCs w:val="21"/>
            </w:rPr>
            <w:fldChar w:fldCharType="end"/>
          </w:r>
          <w:r>
            <w:rPr>
              <w:rFonts w:hint="eastAsia" w:cs="Arial"/>
              <w:szCs w:val="21"/>
              <w:lang w:val="en-US" w:eastAsia="zh-CN"/>
            </w:rPr>
            <w:t xml:space="preserve"> </w:t>
          </w:r>
          <w:r>
            <w:rPr>
              <w:rFonts w:hint="eastAsia" w:cs="Arial"/>
              <w:szCs w:val="21"/>
            </w:rPr>
            <w:fldChar w:fldCharType="begin"/>
          </w:r>
          <w:r>
            <w:rPr>
              <w:rFonts w:hint="eastAsia" w:cs="Arial"/>
              <w:szCs w:val="21"/>
            </w:rPr>
            <w:instrText xml:space="preserve"> HYPERLINK \l _Toc21036 </w:instrText>
          </w:r>
          <w:r>
            <w:rPr>
              <w:rFonts w:hint="eastAsia" w:cs="Arial"/>
              <w:szCs w:val="21"/>
            </w:rPr>
            <w:fldChar w:fldCharType="separate"/>
          </w:r>
          <w:r>
            <w:rPr>
              <w:rFonts w:hint="eastAsia"/>
            </w:rPr>
            <w:t>标准</w:t>
          </w:r>
          <w:r>
            <w:tab/>
          </w:r>
          <w:r>
            <w:fldChar w:fldCharType="begin"/>
          </w:r>
          <w:r>
            <w:instrText xml:space="preserve"> PAGEREF _Toc21036 \h </w:instrText>
          </w:r>
          <w:r>
            <w:fldChar w:fldCharType="separate"/>
          </w:r>
          <w:r>
            <w:t>11</w:t>
          </w:r>
          <w:r>
            <w:fldChar w:fldCharType="end"/>
          </w:r>
          <w:r>
            <w:rPr>
              <w:rFonts w:hint="eastAsia" w:cs="Arial"/>
              <w:szCs w:val="21"/>
            </w:rPr>
            <w:fldChar w:fldCharType="end"/>
          </w:r>
        </w:p>
        <w:p w14:paraId="57A17E92">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_Toc25901 </w:instrText>
          </w:r>
          <w:r>
            <w:rPr>
              <w:rFonts w:hint="eastAsia" w:cs="Arial"/>
              <w:szCs w:val="21"/>
            </w:rPr>
            <w:fldChar w:fldCharType="separate"/>
          </w:r>
          <w:r>
            <w:rPr>
              <w:rFonts w:hint="eastAsia"/>
            </w:rPr>
            <w:t>附件</w:t>
          </w:r>
          <w:r>
            <w:rPr>
              <w:rFonts w:hint="eastAsia"/>
              <w:lang w:val="en-US" w:eastAsia="zh-CN"/>
            </w:rPr>
            <w:t xml:space="preserve">四 </w:t>
          </w:r>
          <w:r>
            <w:rPr>
              <w:rFonts w:hint="eastAsia" w:cs="Arial"/>
              <w:szCs w:val="21"/>
            </w:rPr>
            <w:fldChar w:fldCharType="end"/>
          </w:r>
          <w:r>
            <w:rPr>
              <w:rFonts w:hint="eastAsia" w:cs="Arial"/>
              <w:szCs w:val="21"/>
            </w:rPr>
            <w:fldChar w:fldCharType="begin"/>
          </w:r>
          <w:r>
            <w:rPr>
              <w:rFonts w:hint="eastAsia" w:cs="Arial"/>
              <w:szCs w:val="21"/>
            </w:rPr>
            <w:instrText xml:space="preserve"> HYPERLINK \l _Toc5210 </w:instrText>
          </w:r>
          <w:r>
            <w:rPr>
              <w:rFonts w:hint="eastAsia" w:cs="Arial"/>
              <w:szCs w:val="21"/>
            </w:rPr>
            <w:fldChar w:fldCharType="separate"/>
          </w:r>
          <w:r>
            <w:rPr>
              <w:rFonts w:hint="eastAsia"/>
            </w:rPr>
            <w:t>证书样板</w:t>
          </w:r>
          <w:r>
            <w:tab/>
          </w:r>
          <w:r>
            <w:fldChar w:fldCharType="begin"/>
          </w:r>
          <w:r>
            <w:instrText xml:space="preserve"> PAGEREF _Toc5210 \h </w:instrText>
          </w:r>
          <w:r>
            <w:fldChar w:fldCharType="separate"/>
          </w:r>
          <w:r>
            <w:t>12</w:t>
          </w:r>
          <w:r>
            <w:fldChar w:fldCharType="end"/>
          </w:r>
          <w:r>
            <w:rPr>
              <w:rFonts w:hint="eastAsia" w:cs="Arial"/>
              <w:szCs w:val="21"/>
            </w:rPr>
            <w:fldChar w:fldCharType="end"/>
          </w:r>
        </w:p>
        <w:p w14:paraId="271F3BF5">
          <w:pPr>
            <w:pStyle w:val="8"/>
            <w:keepNext w:val="0"/>
            <w:keepLines w:val="0"/>
            <w:pageBreakBefore w:val="0"/>
            <w:widowControl w:val="0"/>
            <w:tabs>
              <w:tab w:val="right" w:leader="dot" w:pos="9643"/>
            </w:tabs>
            <w:kinsoku/>
            <w:wordWrap/>
            <w:overflowPunct/>
            <w:topLinePunct w:val="0"/>
            <w:autoSpaceDE w:val="0"/>
            <w:autoSpaceDN w:val="0"/>
            <w:bidi w:val="0"/>
            <w:adjustRightInd/>
            <w:snapToGrid/>
            <w:ind w:firstLine="0" w:firstLineChars="0"/>
            <w:textAlignment w:val="auto"/>
          </w:pPr>
          <w:r>
            <w:rPr>
              <w:rFonts w:hint="eastAsia" w:cs="Arial"/>
              <w:szCs w:val="21"/>
            </w:rPr>
            <w:fldChar w:fldCharType="begin"/>
          </w:r>
          <w:r>
            <w:rPr>
              <w:rFonts w:hint="eastAsia" w:cs="Arial"/>
              <w:szCs w:val="21"/>
            </w:rPr>
            <w:instrText xml:space="preserve"> HYPERLINK \l _Toc6325 </w:instrText>
          </w:r>
          <w:r>
            <w:rPr>
              <w:rFonts w:hint="eastAsia" w:cs="Arial"/>
              <w:szCs w:val="21"/>
            </w:rPr>
            <w:fldChar w:fldCharType="separate"/>
          </w:r>
          <w:r>
            <w:rPr>
              <w:rFonts w:hint="eastAsia"/>
            </w:rPr>
            <w:t>附件</w:t>
          </w:r>
          <w:r>
            <w:rPr>
              <w:rFonts w:hint="eastAsia"/>
              <w:lang w:val="en-US" w:eastAsia="zh-CN"/>
            </w:rPr>
            <w:t>五</w:t>
          </w:r>
          <w:r>
            <w:rPr>
              <w:rFonts w:hint="eastAsia" w:cs="Arial"/>
              <w:szCs w:val="21"/>
            </w:rPr>
            <w:fldChar w:fldCharType="end"/>
          </w:r>
          <w:r>
            <w:rPr>
              <w:rFonts w:hint="eastAsia" w:cs="Arial"/>
              <w:szCs w:val="21"/>
              <w:lang w:val="en-US" w:eastAsia="zh-CN"/>
            </w:rPr>
            <w:t xml:space="preserve"> </w:t>
          </w:r>
          <w:r>
            <w:rPr>
              <w:rFonts w:hint="eastAsia" w:cs="Arial"/>
              <w:szCs w:val="21"/>
            </w:rPr>
            <w:fldChar w:fldCharType="begin"/>
          </w:r>
          <w:r>
            <w:rPr>
              <w:rFonts w:hint="eastAsia" w:cs="Arial"/>
              <w:szCs w:val="21"/>
            </w:rPr>
            <w:instrText xml:space="preserve"> HYPERLINK \l _Toc14001 </w:instrText>
          </w:r>
          <w:r>
            <w:rPr>
              <w:rFonts w:hint="eastAsia" w:cs="Arial"/>
              <w:szCs w:val="21"/>
            </w:rPr>
            <w:fldChar w:fldCharType="separate"/>
          </w:r>
          <w:r>
            <w:rPr>
              <w:rFonts w:hint="eastAsia"/>
            </w:rPr>
            <w:t>机构标识</w:t>
          </w:r>
          <w:r>
            <w:tab/>
          </w:r>
          <w:r>
            <w:fldChar w:fldCharType="begin"/>
          </w:r>
          <w:r>
            <w:instrText xml:space="preserve"> PAGEREF _Toc14001 \h </w:instrText>
          </w:r>
          <w:r>
            <w:fldChar w:fldCharType="separate"/>
          </w:r>
          <w:r>
            <w:t>13</w:t>
          </w:r>
          <w:r>
            <w:fldChar w:fldCharType="end"/>
          </w:r>
          <w:r>
            <w:rPr>
              <w:rFonts w:hint="eastAsia" w:cs="Arial"/>
              <w:szCs w:val="21"/>
            </w:rPr>
            <w:fldChar w:fldCharType="end"/>
          </w:r>
        </w:p>
        <w:p w14:paraId="01DD5622">
          <w:pPr>
            <w:ind w:firstLine="420"/>
            <w:contextualSpacing/>
            <w:rPr>
              <w:rFonts w:hint="eastAsia" w:ascii="宋体" w:hAnsi="宋体" w:eastAsia="宋体" w:cs="Arial"/>
              <w:sz w:val="21"/>
              <w:szCs w:val="21"/>
              <w:lang w:val="en-US" w:eastAsia="zh-CN" w:bidi="ar-SA"/>
            </w:rPr>
            <w:sectPr>
              <w:headerReference r:id="rId12" w:type="default"/>
              <w:pgSz w:w="11911" w:h="16838"/>
              <w:pgMar w:top="1417" w:right="1134" w:bottom="1134" w:left="1134" w:header="567" w:footer="998" w:gutter="0"/>
              <w:cols w:space="0" w:num="1"/>
              <w:rtlGutter w:val="0"/>
              <w:docGrid w:linePitch="326" w:charSpace="0"/>
            </w:sectPr>
          </w:pPr>
          <w:r>
            <w:rPr>
              <w:rFonts w:hint="eastAsia" w:cs="Arial"/>
              <w:szCs w:val="21"/>
            </w:rPr>
            <w:fldChar w:fldCharType="end"/>
          </w:r>
        </w:p>
      </w:sdtContent>
    </w:sdt>
    <w:bookmarkEnd w:id="2"/>
    <w:p w14:paraId="6247AEC2">
      <w:pPr>
        <w:pStyle w:val="2"/>
        <w:numPr>
          <w:ilvl w:val="0"/>
          <w:numId w:val="1"/>
        </w:numPr>
        <w:bidi w:val="0"/>
        <w:rPr>
          <w:rFonts w:hint="default" w:ascii="Times New Roman" w:hAnsi="Times New Roman" w:cs="Times New Roman"/>
        </w:rPr>
      </w:pPr>
      <w:bookmarkStart w:id="4" w:name="_Toc200873933"/>
      <w:bookmarkStart w:id="5" w:name="_Toc200873874"/>
      <w:bookmarkStart w:id="6" w:name="_Toc21648"/>
      <w:bookmarkStart w:id="7" w:name="_Toc200875062"/>
      <w:bookmarkStart w:id="8" w:name="_Hlk200869530"/>
      <w:r>
        <w:rPr>
          <w:rFonts w:hint="default" w:ascii="Times New Roman" w:hAnsi="Times New Roman" w:cs="Times New Roman"/>
        </w:rPr>
        <w:t>目的和适用范围</w:t>
      </w:r>
      <w:bookmarkEnd w:id="4"/>
      <w:bookmarkEnd w:id="5"/>
      <w:bookmarkEnd w:id="6"/>
      <w:bookmarkEnd w:id="7"/>
    </w:p>
    <w:p w14:paraId="19FCB782">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本规则依据认证认可相关法律法规，结合相关技术标准，规定了富利汇认证（宁夏）有限公司（以下简称“公司”）对申请组织依据GB/T 31950-2023《企业诚信管理体系 要求》建立的企业诚信管理体系开展认证活动应遵循的基本程序要求。</w:t>
      </w:r>
    </w:p>
    <w:bookmarkEnd w:id="8"/>
    <w:p w14:paraId="6F568D6A">
      <w:pPr>
        <w:pStyle w:val="2"/>
        <w:numPr>
          <w:ilvl w:val="0"/>
          <w:numId w:val="1"/>
        </w:numPr>
        <w:bidi w:val="0"/>
        <w:rPr>
          <w:rFonts w:hint="default" w:ascii="Times New Roman" w:hAnsi="Times New Roman" w:cs="Times New Roman"/>
        </w:rPr>
      </w:pPr>
      <w:bookmarkStart w:id="9" w:name="_Toc200873934"/>
      <w:bookmarkStart w:id="10" w:name="_Toc979"/>
      <w:bookmarkStart w:id="11" w:name="_Toc200873875"/>
      <w:bookmarkStart w:id="12" w:name="_Toc200875063"/>
      <w:bookmarkStart w:id="13" w:name="_Toc31905"/>
      <w:bookmarkStart w:id="14" w:name="_Toc7303"/>
      <w:r>
        <w:rPr>
          <w:rFonts w:hint="default" w:ascii="Times New Roman" w:hAnsi="Times New Roman" w:cs="Times New Roman"/>
        </w:rPr>
        <w:t>引用文件</w:t>
      </w:r>
      <w:bookmarkEnd w:id="9"/>
      <w:bookmarkEnd w:id="10"/>
      <w:bookmarkEnd w:id="11"/>
      <w:bookmarkEnd w:id="12"/>
    </w:p>
    <w:p w14:paraId="5F5B4DF2">
      <w:pPr>
        <w:pStyle w:val="4"/>
        <w:keepNext w:val="0"/>
        <w:keepLines w:val="0"/>
        <w:pageBreakBefore w:val="0"/>
        <w:widowControl w:val="0"/>
        <w:kinsoku/>
        <w:wordWrap/>
        <w:overflowPunct/>
        <w:topLinePunct w:val="0"/>
        <w:bidi w:val="0"/>
        <w:adjustRightInd/>
        <w:snapToGrid/>
        <w:ind w:left="0" w:firstLine="412" w:firstLineChars="200"/>
        <w:contextualSpacing/>
        <w:textAlignment w:val="auto"/>
        <w:rPr>
          <w:rFonts w:hint="default" w:ascii="Times New Roman" w:hAnsi="Times New Roman" w:cs="Times New Roman"/>
        </w:rPr>
      </w:pPr>
      <w:r>
        <w:rPr>
          <w:rFonts w:hint="default" w:ascii="Times New Roman" w:hAnsi="Times New Roman" w:cs="Times New Roman"/>
          <w:spacing w:val="-2"/>
        </w:rPr>
        <w:t>下列文件中的条款通过本方案的引用而成为本规范的条款；凡是不注明日期引用文件，其最新版本适用于本规范。</w:t>
      </w:r>
    </w:p>
    <w:p w14:paraId="72951DCE">
      <w:pPr>
        <w:pStyle w:val="15"/>
        <w:keepNext w:val="0"/>
        <w:keepLines w:val="0"/>
        <w:pageBreakBefore w:val="0"/>
        <w:widowControl w:val="0"/>
        <w:numPr>
          <w:ilvl w:val="1"/>
          <w:numId w:val="0"/>
        </w:numPr>
        <w:kinsoku/>
        <w:wordWrap/>
        <w:overflowPunct/>
        <w:topLinePunct w:val="0"/>
        <w:bidi w:val="0"/>
        <w:adjustRightInd/>
        <w:snapToGrid/>
        <w:ind w:leftChars="0" w:firstLine="420" w:firstLineChars="200"/>
        <w:textAlignment w:val="auto"/>
        <w:outlineLvl w:val="9"/>
        <w:rPr>
          <w:rFonts w:hint="default" w:ascii="Times New Roman" w:hAnsi="Times New Roman" w:cs="Times New Roman"/>
        </w:rPr>
      </w:pPr>
      <w:bookmarkStart w:id="15" w:name="_Toc200873876"/>
      <w:r>
        <w:rPr>
          <w:rFonts w:hint="default" w:ascii="Times New Roman" w:hAnsi="Times New Roman" w:cs="Times New Roman"/>
        </w:rPr>
        <w:t>CNAS-RC01-2020 《认证机构认可规则》</w:t>
      </w:r>
    </w:p>
    <w:p w14:paraId="272B1477">
      <w:pPr>
        <w:pStyle w:val="15"/>
        <w:keepNext w:val="0"/>
        <w:keepLines w:val="0"/>
        <w:pageBreakBefore w:val="0"/>
        <w:widowControl w:val="0"/>
        <w:numPr>
          <w:ilvl w:val="1"/>
          <w:numId w:val="0"/>
        </w:numPr>
        <w:kinsoku/>
        <w:wordWrap/>
        <w:overflowPunct/>
        <w:topLinePunct w:val="0"/>
        <w:bidi w:val="0"/>
        <w:adjustRightInd/>
        <w:snapToGrid/>
        <w:ind w:leftChars="0" w:firstLine="420" w:firstLineChars="200"/>
        <w:textAlignment w:val="auto"/>
        <w:outlineLvl w:val="9"/>
        <w:rPr>
          <w:rFonts w:hint="default" w:ascii="Times New Roman" w:hAnsi="Times New Roman" w:cs="Times New Roman"/>
        </w:rPr>
      </w:pPr>
      <w:r>
        <w:rPr>
          <w:rFonts w:hint="default" w:ascii="Times New Roman" w:hAnsi="Times New Roman" w:cs="Times New Roman"/>
        </w:rPr>
        <w:t>CNAS-CC11：2010《基于抽样的多场所认证》</w:t>
      </w:r>
    </w:p>
    <w:p w14:paraId="1978CAF7">
      <w:pPr>
        <w:pStyle w:val="15"/>
        <w:keepNext w:val="0"/>
        <w:keepLines w:val="0"/>
        <w:pageBreakBefore w:val="0"/>
        <w:widowControl w:val="0"/>
        <w:numPr>
          <w:ilvl w:val="1"/>
          <w:numId w:val="0"/>
        </w:numPr>
        <w:kinsoku/>
        <w:wordWrap/>
        <w:overflowPunct/>
        <w:topLinePunct w:val="0"/>
        <w:bidi w:val="0"/>
        <w:adjustRightInd/>
        <w:snapToGrid/>
        <w:ind w:leftChars="0" w:firstLine="420" w:firstLineChars="200"/>
        <w:textAlignment w:val="auto"/>
        <w:outlineLvl w:val="9"/>
        <w:rPr>
          <w:rFonts w:hint="default" w:ascii="Times New Roman" w:hAnsi="Times New Roman" w:cs="Times New Roman"/>
        </w:rPr>
      </w:pPr>
      <w:r>
        <w:rPr>
          <w:rFonts w:hint="default" w:ascii="Times New Roman" w:hAnsi="Times New Roman" w:cs="Times New Roman"/>
        </w:rPr>
        <w:t>CNAS-GC02：2010《管理体系结合审核应用指南》</w:t>
      </w:r>
    </w:p>
    <w:p w14:paraId="0E25FF45">
      <w:pPr>
        <w:pStyle w:val="15"/>
        <w:keepNext w:val="0"/>
        <w:keepLines w:val="0"/>
        <w:pageBreakBefore w:val="0"/>
        <w:widowControl w:val="0"/>
        <w:numPr>
          <w:ilvl w:val="1"/>
          <w:numId w:val="0"/>
        </w:numPr>
        <w:kinsoku/>
        <w:wordWrap/>
        <w:overflowPunct/>
        <w:topLinePunct w:val="0"/>
        <w:bidi w:val="0"/>
        <w:adjustRightInd/>
        <w:snapToGrid/>
        <w:ind w:leftChars="0" w:firstLine="420" w:firstLineChars="200"/>
        <w:textAlignment w:val="auto"/>
        <w:outlineLvl w:val="9"/>
        <w:rPr>
          <w:rFonts w:hint="default" w:ascii="Times New Roman" w:hAnsi="Times New Roman" w:cs="Times New Roman"/>
        </w:rPr>
      </w:pPr>
      <w:r>
        <w:rPr>
          <w:rFonts w:hint="default" w:ascii="Times New Roman" w:hAnsi="Times New Roman" w:cs="Times New Roman"/>
        </w:rPr>
        <w:t>CNAS-TRC-012:2017 《管理体系认证机构认证业务范围分类指南》</w:t>
      </w:r>
    </w:p>
    <w:bookmarkEnd w:id="15"/>
    <w:p w14:paraId="48499CC4">
      <w:pPr>
        <w:pStyle w:val="2"/>
        <w:numPr>
          <w:ilvl w:val="0"/>
          <w:numId w:val="1"/>
        </w:numPr>
        <w:bidi w:val="0"/>
        <w:rPr>
          <w:rFonts w:hint="default" w:ascii="Times New Roman" w:hAnsi="Times New Roman" w:cs="Times New Roman"/>
        </w:rPr>
      </w:pPr>
      <w:bookmarkStart w:id="16" w:name="_Toc200873935"/>
      <w:bookmarkStart w:id="17" w:name="_Toc200873882"/>
      <w:bookmarkStart w:id="18" w:name="_Toc200875064"/>
      <w:bookmarkStart w:id="19" w:name="_Toc5815"/>
      <w:r>
        <w:rPr>
          <w:rFonts w:hint="default" w:ascii="Times New Roman" w:hAnsi="Times New Roman" w:cs="Times New Roman"/>
        </w:rPr>
        <w:t>认证依据</w:t>
      </w:r>
      <w:bookmarkEnd w:id="16"/>
      <w:bookmarkEnd w:id="17"/>
      <w:bookmarkEnd w:id="18"/>
      <w:bookmarkEnd w:id="19"/>
    </w:p>
    <w:p w14:paraId="7C72C565">
      <w:pPr>
        <w:keepNext w:val="0"/>
        <w:keepLines w:val="0"/>
        <w:pageBreakBefore w:val="0"/>
        <w:widowControl w:val="0"/>
        <w:kinsoku/>
        <w:wordWrap/>
        <w:overflowPunct/>
        <w:topLinePunct w:val="0"/>
        <w:bidi w:val="0"/>
        <w:adjustRightInd/>
        <w:snapToGrid/>
        <w:ind w:left="0" w:firstLine="420" w:firstLineChars="200"/>
        <w:textAlignment w:val="auto"/>
        <w:rPr>
          <w:rFonts w:hint="default" w:ascii="Times New Roman" w:hAnsi="Times New Roman" w:cs="Times New Roman"/>
          <w:b/>
          <w:bCs/>
        </w:rPr>
      </w:pPr>
      <w:r>
        <w:rPr>
          <w:rFonts w:hint="default" w:ascii="Times New Roman" w:hAnsi="Times New Roman" w:cs="Times New Roman"/>
        </w:rPr>
        <w:t>GB/T 31950-2023《企业诚信管理体系 要求》</w:t>
      </w:r>
    </w:p>
    <w:p w14:paraId="01AFFD8E">
      <w:pPr>
        <w:pStyle w:val="2"/>
        <w:numPr>
          <w:ilvl w:val="0"/>
          <w:numId w:val="1"/>
        </w:numPr>
        <w:bidi w:val="0"/>
        <w:rPr>
          <w:rFonts w:hint="default" w:ascii="Times New Roman" w:hAnsi="Times New Roman" w:cs="Times New Roman"/>
        </w:rPr>
      </w:pPr>
      <w:bookmarkStart w:id="20" w:name="_Toc200873936"/>
      <w:bookmarkStart w:id="21" w:name="_Toc200875065"/>
      <w:bookmarkStart w:id="22" w:name="_Toc200873883"/>
      <w:bookmarkStart w:id="23" w:name="_Toc1910"/>
      <w:r>
        <w:rPr>
          <w:rFonts w:hint="default" w:ascii="Times New Roman" w:hAnsi="Times New Roman" w:cs="Times New Roman"/>
        </w:rPr>
        <w:t>基本要求</w:t>
      </w:r>
      <w:bookmarkEnd w:id="13"/>
      <w:bookmarkEnd w:id="14"/>
      <w:bookmarkEnd w:id="20"/>
      <w:bookmarkEnd w:id="21"/>
      <w:bookmarkEnd w:id="22"/>
      <w:bookmarkEnd w:id="23"/>
    </w:p>
    <w:p w14:paraId="74F4F6CA">
      <w:pPr>
        <w:pStyle w:val="15"/>
        <w:keepNext w:val="0"/>
        <w:keepLines w:val="0"/>
        <w:pageBreakBefore w:val="0"/>
        <w:widowControl w:val="0"/>
        <w:kinsoku/>
        <w:wordWrap/>
        <w:overflowPunct/>
        <w:topLinePunct w:val="0"/>
        <w:bidi w:val="0"/>
        <w:adjustRightInd/>
        <w:snapToGrid/>
        <w:ind w:left="0" w:firstLine="0" w:firstLineChars="0"/>
        <w:textAlignment w:val="auto"/>
        <w:outlineLvl w:val="9"/>
        <w:rPr>
          <w:rFonts w:hint="default" w:ascii="Times New Roman" w:hAnsi="Times New Roman" w:cs="Times New Roman"/>
          <w:b w:val="0"/>
          <w:bCs w:val="0"/>
        </w:rPr>
      </w:pPr>
      <w:bookmarkStart w:id="24" w:name="_Toc200873884"/>
      <w:r>
        <w:rPr>
          <w:rFonts w:hint="default" w:ascii="Times New Roman" w:hAnsi="Times New Roman" w:cs="Times New Roman"/>
          <w:b w:val="0"/>
          <w:bCs w:val="0"/>
        </w:rPr>
        <w:t>公司应在依据认证认可相关法律法规要求进行企业诚信管理体系认证规则备案后方可在备案范围内开展相关认证活动。</w:t>
      </w:r>
      <w:bookmarkEnd w:id="24"/>
    </w:p>
    <w:p w14:paraId="5F1A0949">
      <w:pPr>
        <w:pStyle w:val="15"/>
        <w:keepNext w:val="0"/>
        <w:keepLines w:val="0"/>
        <w:pageBreakBefore w:val="0"/>
        <w:widowControl w:val="0"/>
        <w:kinsoku/>
        <w:wordWrap/>
        <w:overflowPunct/>
        <w:topLinePunct w:val="0"/>
        <w:bidi w:val="0"/>
        <w:adjustRightInd/>
        <w:snapToGrid/>
        <w:ind w:left="0" w:firstLine="0" w:firstLineChars="0"/>
        <w:textAlignment w:val="auto"/>
        <w:outlineLvl w:val="9"/>
        <w:rPr>
          <w:rFonts w:hint="default" w:ascii="Times New Roman" w:hAnsi="Times New Roman" w:cs="Times New Roman"/>
          <w:b w:val="0"/>
          <w:bCs w:val="0"/>
        </w:rPr>
      </w:pPr>
      <w:bookmarkStart w:id="25" w:name="_Toc200873885"/>
      <w:r>
        <w:rPr>
          <w:rFonts w:hint="default" w:ascii="Times New Roman" w:hAnsi="Times New Roman" w:cs="Times New Roman"/>
          <w:b w:val="0"/>
          <w:bCs w:val="0"/>
        </w:rPr>
        <w:t>公司从事企业诚信管理体系认证活动应遵循公正公开、客观独立、诚实信用的原则，以确保持续具备开展企业诚信管理体系的能力、一致性和公正性。</w:t>
      </w:r>
      <w:bookmarkEnd w:id="25"/>
    </w:p>
    <w:p w14:paraId="523A9B7C">
      <w:pPr>
        <w:pStyle w:val="15"/>
        <w:keepNext w:val="0"/>
        <w:keepLines w:val="0"/>
        <w:pageBreakBefore w:val="0"/>
        <w:widowControl w:val="0"/>
        <w:kinsoku/>
        <w:wordWrap/>
        <w:overflowPunct/>
        <w:topLinePunct w:val="0"/>
        <w:bidi w:val="0"/>
        <w:adjustRightInd/>
        <w:snapToGrid/>
        <w:ind w:left="0" w:firstLine="0" w:firstLineChars="0"/>
        <w:textAlignment w:val="auto"/>
        <w:outlineLvl w:val="9"/>
        <w:rPr>
          <w:rFonts w:hint="default" w:ascii="Times New Roman" w:hAnsi="Times New Roman" w:cs="Times New Roman"/>
          <w:b w:val="0"/>
          <w:bCs w:val="0"/>
        </w:rPr>
      </w:pPr>
      <w:bookmarkStart w:id="26" w:name="_Toc200873886"/>
      <w:r>
        <w:rPr>
          <w:rFonts w:hint="default" w:ascii="Times New Roman" w:hAnsi="Times New Roman" w:cs="Times New Roman"/>
          <w:b w:val="0"/>
          <w:bCs w:val="0"/>
        </w:rPr>
        <w:t>公司在开展企业诚信管理体系认证活动时，应根据国家经济和社会、自身发展的需要，不应影响国家安全和社会公共利益，不应违背社会公序良俗。</w:t>
      </w:r>
      <w:bookmarkEnd w:id="26"/>
    </w:p>
    <w:p w14:paraId="1E315474">
      <w:pPr>
        <w:pStyle w:val="15"/>
        <w:keepNext w:val="0"/>
        <w:keepLines w:val="0"/>
        <w:pageBreakBefore w:val="0"/>
        <w:widowControl w:val="0"/>
        <w:kinsoku/>
        <w:wordWrap/>
        <w:overflowPunct/>
        <w:topLinePunct w:val="0"/>
        <w:bidi w:val="0"/>
        <w:adjustRightInd/>
        <w:snapToGrid/>
        <w:ind w:left="0" w:firstLine="0" w:firstLineChars="0"/>
        <w:textAlignment w:val="auto"/>
        <w:outlineLvl w:val="9"/>
        <w:rPr>
          <w:rFonts w:hint="default" w:ascii="Times New Roman" w:hAnsi="Times New Roman" w:cs="Times New Roman"/>
          <w:b w:val="0"/>
          <w:bCs w:val="0"/>
        </w:rPr>
      </w:pPr>
      <w:bookmarkStart w:id="27" w:name="_Toc200873887"/>
      <w:r>
        <w:rPr>
          <w:rFonts w:hint="default" w:ascii="Times New Roman" w:hAnsi="Times New Roman" w:cs="Times New Roman"/>
          <w:b w:val="0"/>
          <w:bCs w:val="0"/>
        </w:rPr>
        <w:t>公司应建立风险防范机制，对从事企业诚信管理体系活动可能引发的风险和责任进行安排，获证组织发生重大事故或引发重大舆情，公司及时采取措施，迅速进行调查、处理，并将信息及时报送市场监管部门。</w:t>
      </w:r>
      <w:bookmarkEnd w:id="27"/>
    </w:p>
    <w:p w14:paraId="185D99E0">
      <w:pPr>
        <w:pStyle w:val="15"/>
        <w:keepNext w:val="0"/>
        <w:keepLines w:val="0"/>
        <w:pageBreakBefore w:val="0"/>
        <w:widowControl w:val="0"/>
        <w:kinsoku/>
        <w:wordWrap/>
        <w:overflowPunct/>
        <w:topLinePunct w:val="0"/>
        <w:bidi w:val="0"/>
        <w:adjustRightInd/>
        <w:snapToGrid/>
        <w:ind w:left="0" w:firstLine="0" w:firstLineChars="0"/>
        <w:textAlignment w:val="auto"/>
        <w:outlineLvl w:val="9"/>
        <w:rPr>
          <w:rFonts w:hint="default" w:ascii="Times New Roman" w:hAnsi="Times New Roman" w:cs="Times New Roman"/>
          <w:b w:val="0"/>
          <w:bCs w:val="0"/>
        </w:rPr>
      </w:pPr>
      <w:bookmarkStart w:id="28" w:name="_Toc200873888"/>
      <w:r>
        <w:rPr>
          <w:rFonts w:hint="default" w:ascii="Times New Roman" w:hAnsi="Times New Roman" w:cs="Times New Roman"/>
          <w:b w:val="0"/>
          <w:bCs w:val="0"/>
        </w:rPr>
        <w:t>公司应建立认证人员管理制度，对认证人员的选择、评价、培养做出明确规定，确保其具备相应的素质、知识和技能。</w:t>
      </w:r>
      <w:bookmarkEnd w:id="28"/>
    </w:p>
    <w:p w14:paraId="59E4D295">
      <w:pPr>
        <w:pStyle w:val="2"/>
        <w:numPr>
          <w:ilvl w:val="0"/>
          <w:numId w:val="1"/>
        </w:numPr>
        <w:bidi w:val="0"/>
        <w:rPr>
          <w:rFonts w:hint="default" w:ascii="Times New Roman" w:hAnsi="Times New Roman" w:cs="Times New Roman"/>
        </w:rPr>
      </w:pPr>
      <w:bookmarkStart w:id="29" w:name="_Toc22182"/>
      <w:bookmarkStart w:id="30" w:name="_Toc200873889"/>
      <w:bookmarkStart w:id="31" w:name="_Toc25034"/>
      <w:bookmarkStart w:id="32" w:name="_Toc2633"/>
      <w:bookmarkStart w:id="33" w:name="_Toc200875066"/>
      <w:bookmarkStart w:id="34" w:name="_Toc200873937"/>
      <w:r>
        <w:rPr>
          <w:rFonts w:hint="default" w:ascii="Times New Roman" w:hAnsi="Times New Roman" w:cs="Times New Roman"/>
        </w:rPr>
        <w:t>认证人员</w:t>
      </w:r>
      <w:bookmarkEnd w:id="29"/>
      <w:bookmarkEnd w:id="30"/>
      <w:bookmarkEnd w:id="31"/>
      <w:bookmarkEnd w:id="32"/>
      <w:bookmarkEnd w:id="33"/>
      <w:bookmarkEnd w:id="34"/>
    </w:p>
    <w:p w14:paraId="052C6B42">
      <w:pPr>
        <w:keepNext w:val="0"/>
        <w:keepLines w:val="0"/>
        <w:pageBreakBefore w:val="0"/>
        <w:widowControl w:val="0"/>
        <w:kinsoku/>
        <w:wordWrap/>
        <w:overflowPunct/>
        <w:topLinePunct w:val="0"/>
        <w:bidi w:val="0"/>
        <w:adjustRightInd/>
        <w:snapToGrid/>
        <w:ind w:left="0"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认证人员应遵守认证认可相关法律法规及规范性文件的要求，应具有从事认证工作的基本职业操守，即：诚信、客观、公正、廉洁，不冒名顶替其他认证人员实施审核，拒绝编制虚假或严重失实的文件，拒绝出具虚假或严重失实的认证记录和报告，拒绝编造学习经历、工作经历和审核经历。认证人员对认证结论、认证结果的真实性负责。</w:t>
      </w:r>
    </w:p>
    <w:p w14:paraId="38254CFC">
      <w:pPr>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szCs w:val="21"/>
        </w:rPr>
      </w:pPr>
      <w:r>
        <w:rPr>
          <w:rFonts w:hint="default" w:ascii="Times New Roman" w:hAnsi="Times New Roman" w:cs="Times New Roman"/>
          <w:szCs w:val="21"/>
        </w:rPr>
        <w:t>认证人员应具备从事企业诚信管理体系认证工作相适宜的能力，且为保证自身能力持续满足认证相关要求，应持续学习，并定期参加公司组织或要求的培训。</w:t>
      </w:r>
    </w:p>
    <w:p w14:paraId="2D1F44E2">
      <w:pPr>
        <w:keepNext w:val="0"/>
        <w:keepLines w:val="0"/>
        <w:pageBreakBefore w:val="0"/>
        <w:widowControl w:val="0"/>
        <w:kinsoku/>
        <w:wordWrap/>
        <w:overflowPunct/>
        <w:topLinePunct w:val="0"/>
        <w:bidi w:val="0"/>
        <w:adjustRightInd/>
        <w:snapToGrid/>
        <w:ind w:left="0"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认证人员不应发生影响认证公正性和有效性的行为；不得参与近两年内其咨询过的组织的企业诚信管理体系认证活动；不应接受认证委托人及其相关利益方的礼金、礼品或其他不当利益，未经允许不应私自到获证组织报销食宿交通等票据。</w:t>
      </w:r>
    </w:p>
    <w:p w14:paraId="23A261E7">
      <w:pPr>
        <w:pStyle w:val="2"/>
        <w:numPr>
          <w:ilvl w:val="0"/>
          <w:numId w:val="1"/>
        </w:numPr>
        <w:bidi w:val="0"/>
        <w:rPr>
          <w:rFonts w:hint="default" w:ascii="Times New Roman" w:hAnsi="Times New Roman" w:cs="Times New Roman"/>
        </w:rPr>
      </w:pPr>
      <w:bookmarkStart w:id="35" w:name="_Toc16173"/>
      <w:bookmarkStart w:id="36" w:name="_Toc200875067"/>
      <w:bookmarkStart w:id="37" w:name="_Toc200873890"/>
      <w:bookmarkStart w:id="38" w:name="_Toc8544"/>
      <w:bookmarkStart w:id="39" w:name="_Toc200873938"/>
      <w:bookmarkStart w:id="40" w:name="_Toc27584"/>
      <w:r>
        <w:rPr>
          <w:rFonts w:hint="default" w:ascii="Times New Roman" w:hAnsi="Times New Roman" w:cs="Times New Roman"/>
        </w:rPr>
        <w:t>认证申请</w:t>
      </w:r>
      <w:bookmarkEnd w:id="35"/>
      <w:bookmarkEnd w:id="36"/>
      <w:bookmarkEnd w:id="37"/>
      <w:bookmarkEnd w:id="38"/>
      <w:bookmarkEnd w:id="39"/>
      <w:bookmarkEnd w:id="40"/>
    </w:p>
    <w:p w14:paraId="27929F8E">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41" w:name="_Toc30812"/>
      <w:bookmarkStart w:id="42" w:name="_Toc200873891"/>
      <w:r>
        <w:rPr>
          <w:rFonts w:hint="default" w:ascii="Times New Roman" w:hAnsi="Times New Roman" w:cs="Times New Roman"/>
        </w:rPr>
        <w:t>信息公开</w:t>
      </w:r>
      <w:bookmarkEnd w:id="41"/>
      <w:bookmarkEnd w:id="42"/>
    </w:p>
    <w:p w14:paraId="3EFFCCBF">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公司应向申请组织至少公开以下信息：</w:t>
      </w:r>
    </w:p>
    <w:p w14:paraId="765EA422">
      <w:pPr>
        <w:keepNext w:val="0"/>
        <w:keepLines w:val="0"/>
        <w:pageBreakBefore w:val="0"/>
        <w:widowControl w:val="0"/>
        <w:numPr>
          <w:ilvl w:val="0"/>
          <w:numId w:val="2"/>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认证业务范围；</w:t>
      </w:r>
    </w:p>
    <w:p w14:paraId="27CBAA02">
      <w:pPr>
        <w:keepNext w:val="0"/>
        <w:keepLines w:val="0"/>
        <w:pageBreakBefore w:val="0"/>
        <w:widowControl w:val="0"/>
        <w:numPr>
          <w:ilvl w:val="0"/>
          <w:numId w:val="2"/>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开展认证活动所依据的认证标准及认证流程；</w:t>
      </w:r>
    </w:p>
    <w:p w14:paraId="4B45D9BB">
      <w:pPr>
        <w:keepNext w:val="0"/>
        <w:keepLines w:val="0"/>
        <w:pageBreakBefore w:val="0"/>
        <w:widowControl w:val="0"/>
        <w:numPr>
          <w:ilvl w:val="0"/>
          <w:numId w:val="2"/>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本认证规则的完整内容；</w:t>
      </w:r>
    </w:p>
    <w:p w14:paraId="51BEADF4">
      <w:pPr>
        <w:keepNext w:val="0"/>
        <w:keepLines w:val="0"/>
        <w:pageBreakBefore w:val="0"/>
        <w:widowControl w:val="0"/>
        <w:numPr>
          <w:ilvl w:val="0"/>
          <w:numId w:val="2"/>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授予、拒绝、保持、更新、暂停（恢复）或撤销认证以及扩大或缩小认证范围的规定；</w:t>
      </w:r>
    </w:p>
    <w:p w14:paraId="1B244D5F">
      <w:pPr>
        <w:keepNext w:val="0"/>
        <w:keepLines w:val="0"/>
        <w:pageBreakBefore w:val="0"/>
        <w:widowControl w:val="0"/>
        <w:numPr>
          <w:ilvl w:val="0"/>
          <w:numId w:val="2"/>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拟向申请组织获取的信息，以及对该信息的保密规定；</w:t>
      </w:r>
    </w:p>
    <w:p w14:paraId="5AB90648">
      <w:pPr>
        <w:keepNext w:val="0"/>
        <w:keepLines w:val="0"/>
        <w:pageBreakBefore w:val="0"/>
        <w:widowControl w:val="0"/>
        <w:numPr>
          <w:ilvl w:val="0"/>
          <w:numId w:val="2"/>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认证证书、认证标志及相关的使用规定；</w:t>
      </w:r>
    </w:p>
    <w:p w14:paraId="0732F105">
      <w:pPr>
        <w:keepNext w:val="0"/>
        <w:keepLines w:val="0"/>
        <w:pageBreakBefore w:val="0"/>
        <w:widowControl w:val="0"/>
        <w:numPr>
          <w:ilvl w:val="0"/>
          <w:numId w:val="2"/>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认证证书的有效期；</w:t>
      </w:r>
    </w:p>
    <w:p w14:paraId="4854FFC4">
      <w:pPr>
        <w:keepNext w:val="0"/>
        <w:keepLines w:val="0"/>
        <w:pageBreakBefore w:val="0"/>
        <w:widowControl w:val="0"/>
        <w:numPr>
          <w:ilvl w:val="0"/>
          <w:numId w:val="2"/>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对认证过程的申诉、投诉规定；</w:t>
      </w:r>
    </w:p>
    <w:p w14:paraId="7FE4EFD2">
      <w:pPr>
        <w:keepNext w:val="0"/>
        <w:keepLines w:val="0"/>
        <w:pageBreakBefore w:val="0"/>
        <w:widowControl w:val="0"/>
        <w:numPr>
          <w:ilvl w:val="0"/>
          <w:numId w:val="2"/>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认证收费标准。</w:t>
      </w:r>
    </w:p>
    <w:p w14:paraId="0CD14188">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43" w:name="_Toc200873892"/>
      <w:bookmarkStart w:id="44" w:name="_Toc12534"/>
      <w:r>
        <w:rPr>
          <w:rFonts w:hint="default" w:ascii="Times New Roman" w:hAnsi="Times New Roman" w:cs="Times New Roman"/>
        </w:rPr>
        <w:t>申请信息</w:t>
      </w:r>
      <w:bookmarkEnd w:id="43"/>
      <w:bookmarkEnd w:id="44"/>
    </w:p>
    <w:p w14:paraId="52CBA3CB">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公司应要求认证申请组织提供必要的信息，至少包括：</w:t>
      </w:r>
    </w:p>
    <w:p w14:paraId="69579516">
      <w:pPr>
        <w:keepNext w:val="0"/>
        <w:keepLines w:val="0"/>
        <w:pageBreakBefore w:val="0"/>
        <w:widowControl w:val="0"/>
        <w:numPr>
          <w:ilvl w:val="0"/>
          <w:numId w:val="3"/>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认证申请书；</w:t>
      </w:r>
    </w:p>
    <w:p w14:paraId="5FFF4DDF">
      <w:pPr>
        <w:keepNext w:val="0"/>
        <w:keepLines w:val="0"/>
        <w:pageBreakBefore w:val="0"/>
        <w:widowControl w:val="0"/>
        <w:numPr>
          <w:ilvl w:val="0"/>
          <w:numId w:val="3"/>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申请的认证范围；</w:t>
      </w:r>
    </w:p>
    <w:p w14:paraId="605B5EE4">
      <w:pPr>
        <w:keepNext w:val="0"/>
        <w:keepLines w:val="0"/>
        <w:pageBreakBefore w:val="0"/>
        <w:widowControl w:val="0"/>
        <w:numPr>
          <w:ilvl w:val="0"/>
          <w:numId w:val="3"/>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申请认证依据的管理体系标准或其他要求；</w:t>
      </w:r>
    </w:p>
    <w:p w14:paraId="2C544CD6">
      <w:pPr>
        <w:keepNext w:val="0"/>
        <w:keepLines w:val="0"/>
        <w:pageBreakBefore w:val="0"/>
        <w:widowControl w:val="0"/>
        <w:numPr>
          <w:ilvl w:val="0"/>
          <w:numId w:val="3"/>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法律地位的证明性文件。当管理体系覆盖多个法律实体时，应提供每个场所的法律地位证明性文件；</w:t>
      </w:r>
    </w:p>
    <w:p w14:paraId="391478D2">
      <w:pPr>
        <w:keepNext w:val="0"/>
        <w:keepLines w:val="0"/>
        <w:pageBreakBefore w:val="0"/>
        <w:widowControl w:val="0"/>
        <w:numPr>
          <w:ilvl w:val="0"/>
          <w:numId w:val="3"/>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申请认证范围所涉及的法律法规要求的资质，如生产许可、强制性认证、排污许可、安全评价；</w:t>
      </w:r>
    </w:p>
    <w:p w14:paraId="616BEA47">
      <w:pPr>
        <w:keepNext w:val="0"/>
        <w:keepLines w:val="0"/>
        <w:pageBreakBefore w:val="0"/>
        <w:widowControl w:val="0"/>
        <w:numPr>
          <w:ilvl w:val="0"/>
          <w:numId w:val="3"/>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申请组织的名称、地址、组织机构及其他与企业诚信管理体系运行相关的详细信息，包括影响体系有效性的外包过程。</w:t>
      </w:r>
    </w:p>
    <w:p w14:paraId="04078568">
      <w:pPr>
        <w:keepNext w:val="0"/>
        <w:keepLines w:val="0"/>
        <w:pageBreakBefore w:val="0"/>
        <w:widowControl w:val="0"/>
        <w:numPr>
          <w:ilvl w:val="0"/>
          <w:numId w:val="3"/>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企业诚信管理体系文件。</w:t>
      </w:r>
    </w:p>
    <w:p w14:paraId="0DAF1F2E">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45" w:name="_Toc4645"/>
      <w:bookmarkStart w:id="46" w:name="_Toc200873893"/>
      <w:r>
        <w:rPr>
          <w:rFonts w:hint="default" w:ascii="Times New Roman" w:hAnsi="Times New Roman" w:cs="Times New Roman"/>
        </w:rPr>
        <w:t>申请评审</w:t>
      </w:r>
      <w:bookmarkEnd w:id="45"/>
      <w:bookmarkEnd w:id="46"/>
    </w:p>
    <w:p w14:paraId="17FE36A7">
      <w:pPr>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r>
        <w:rPr>
          <w:rFonts w:hint="default" w:ascii="Times New Roman" w:hAnsi="Times New Roman" w:cs="Times New Roman"/>
        </w:rPr>
        <w:t>6.3.1公司应实施认证申请评审，以确定是否受理认证申请，不应受理公司未获批或不具备专业能力的认证申请。</w:t>
      </w:r>
    </w:p>
    <w:p w14:paraId="0E836961">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6.3.2 存在以下情况的组织，公司不应受理其认证申请：</w:t>
      </w:r>
    </w:p>
    <w:p w14:paraId="626E775E">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1）被执法监管部门责令停业整顿期间的；</w:t>
      </w:r>
    </w:p>
    <w:p w14:paraId="42E635C7">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2）被全国企业信用信息公示系统或者政府其他信用公示系统列入严重违法失信名单的；</w:t>
      </w:r>
    </w:p>
    <w:p w14:paraId="14A9EAF6">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3）一年内被国家级行政检查发现其在质量/环境/安全控制方面存在严重不合格并予公布的；</w:t>
      </w:r>
    </w:p>
    <w:p w14:paraId="55A7A6C6">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4）一年内发生重、特大事故（事件）的；</w:t>
      </w:r>
    </w:p>
    <w:p w14:paraId="1BB5D7BE">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5）其他被政府主管部门认定或被媒体曝光有不符合、违法失信行为，且尚在处理期间的。</w:t>
      </w:r>
    </w:p>
    <w:p w14:paraId="2A225763">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6.3.3 申请评审结果</w:t>
      </w:r>
    </w:p>
    <w:p w14:paraId="027F2FC2">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1）申请材料齐全、符合相关要求的申请组织，公司通过其认证申请；</w:t>
      </w:r>
    </w:p>
    <w:p w14:paraId="6457E131">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2）未通过申请评审的，公司应书面通知申请组织在规定时间内补充、完善申请资料，或出具不通过认证申请的结论及理由。</w:t>
      </w:r>
    </w:p>
    <w:p w14:paraId="7E479F6D">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公司应保留认证申请评审的工作记录。</w:t>
      </w:r>
    </w:p>
    <w:p w14:paraId="1CBC06F8">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47" w:name="_Toc26456"/>
      <w:bookmarkStart w:id="48" w:name="_Toc200873894"/>
      <w:bookmarkStart w:id="49" w:name="_Toc25077"/>
      <w:bookmarkStart w:id="50" w:name="_Toc27368"/>
      <w:r>
        <w:rPr>
          <w:rFonts w:hint="default" w:ascii="Times New Roman" w:hAnsi="Times New Roman" w:cs="Times New Roman"/>
        </w:rPr>
        <w:t>认证合同</w:t>
      </w:r>
      <w:bookmarkEnd w:id="47"/>
      <w:bookmarkEnd w:id="48"/>
      <w:bookmarkEnd w:id="49"/>
      <w:bookmarkEnd w:id="50"/>
    </w:p>
    <w:p w14:paraId="746420FF">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6.4.1 认证申请评审通过后，公司应当与每个申请组织签订认证合同，以明确双方的责任。</w:t>
      </w:r>
    </w:p>
    <w:p w14:paraId="4052CCB9">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6.4.2 公司的责任至少包括：</w:t>
      </w:r>
    </w:p>
    <w:p w14:paraId="4384B93D">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1）及时向符合认证要求的客户颁发认证证书，并经获证组织同意后，通过相应媒体公布获证信息；</w:t>
      </w:r>
    </w:p>
    <w:p w14:paraId="55C31F71">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2）因公司原因导致客户证书无法保持有效的，应及时告知客户并作出妥善处理。</w:t>
      </w:r>
    </w:p>
    <w:p w14:paraId="399A1A6D">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6.4.3 申请组织的责任至少包括：</w:t>
      </w:r>
    </w:p>
    <w:p w14:paraId="67F4A269">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1）遵守认证要求，如实提供相关材料和信息，协助市场监管部门的监督检查；</w:t>
      </w:r>
    </w:p>
    <w:p w14:paraId="2F0775AE">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2）获证后，正确使用认证证书和认证标志，包括在其认证证书被暂停、撤销后，立即停止使用认证证书和所有引用认证资格的广告材料；</w:t>
      </w:r>
    </w:p>
    <w:p w14:paraId="4C3A5E64">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3）发生如下情况，及时向公司通报：发生重大变更、被政府主管部门公布检查不合格、被媒体曝光存在问题、受到重大投诉、相关行政处罚、发生重大事故、管理体系不能正常运行；</w:t>
      </w:r>
    </w:p>
    <w:p w14:paraId="7643F56C">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4）及时缴纳认证服务的费用。</w:t>
      </w:r>
    </w:p>
    <w:p w14:paraId="282B1AEF">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6.4.4 认证合同的内容还应包括：</w:t>
      </w:r>
    </w:p>
    <w:p w14:paraId="18B50F7B">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1）拟认证的企业诚信管理体系覆盖的范围；</w:t>
      </w:r>
    </w:p>
    <w:p w14:paraId="569EC398">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2）认证服务的费用、付费方式及违约条款。</w:t>
      </w:r>
    </w:p>
    <w:p w14:paraId="23C2774F">
      <w:pPr>
        <w:pStyle w:val="2"/>
        <w:numPr>
          <w:ilvl w:val="0"/>
          <w:numId w:val="1"/>
        </w:numPr>
        <w:bidi w:val="0"/>
        <w:rPr>
          <w:rFonts w:hint="default" w:ascii="Times New Roman" w:hAnsi="Times New Roman" w:cs="Times New Roman"/>
        </w:rPr>
      </w:pPr>
      <w:bookmarkStart w:id="51" w:name="_Toc200873895"/>
      <w:bookmarkStart w:id="52" w:name="_Toc200875068"/>
      <w:bookmarkStart w:id="53" w:name="_Toc200873939"/>
      <w:bookmarkStart w:id="54" w:name="_Toc12198"/>
      <w:bookmarkStart w:id="55" w:name="_Toc28782"/>
      <w:bookmarkStart w:id="56" w:name="_Toc23003"/>
      <w:r>
        <w:rPr>
          <w:rFonts w:hint="default" w:ascii="Times New Roman" w:hAnsi="Times New Roman" w:cs="Times New Roman"/>
        </w:rPr>
        <w:t>认证策划</w:t>
      </w:r>
      <w:bookmarkEnd w:id="51"/>
      <w:bookmarkEnd w:id="52"/>
      <w:bookmarkEnd w:id="53"/>
      <w:bookmarkEnd w:id="54"/>
      <w:bookmarkEnd w:id="55"/>
      <w:bookmarkEnd w:id="56"/>
    </w:p>
    <w:p w14:paraId="7667EA69">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57" w:name="_Toc8781"/>
      <w:bookmarkStart w:id="58" w:name="_Toc200873896"/>
      <w:r>
        <w:rPr>
          <w:rFonts w:hint="default" w:ascii="Times New Roman" w:hAnsi="Times New Roman" w:cs="Times New Roman"/>
        </w:rPr>
        <w:t>审核方案策划</w:t>
      </w:r>
      <w:bookmarkEnd w:id="57"/>
      <w:bookmarkEnd w:id="58"/>
    </w:p>
    <w:p w14:paraId="0B98C0C0">
      <w:pPr>
        <w:pStyle w:val="20"/>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r>
        <w:rPr>
          <w:rFonts w:hint="default" w:ascii="Times New Roman" w:hAnsi="Times New Roman" w:cs="Times New Roman"/>
        </w:rPr>
        <w:t>7.1.1公司应对每个认证客户建立覆盖整个认证周期的审核方案，初次认证的审核方案应包括初次认证审核、认证后的监督审核和第三年在认证到期前进行的再认证审核。</w:t>
      </w:r>
    </w:p>
    <w:p w14:paraId="7E2729F0">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7.1.2 初次认证后的第一次监督审核应在认证证书签发日起12个月内进行。此后，除发生特殊事件或情况外，监督审核应在至少每个日历年（应进行再认证的年份除外）进行一次，且两次监督审核的时间间隔不应超过15个月。</w:t>
      </w:r>
    </w:p>
    <w:p w14:paraId="3F80D220">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注：特殊事件或情况的定义及其处理见IAF MD3《影响认可机构、合格评定机构和获证组织的特殊事件或情况的管理》。</w:t>
      </w:r>
    </w:p>
    <w:p w14:paraId="4C09EBDE">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7.1.3 公司应使用基于风险的方法进行审核方案策划，审核方案的确定和任何后续调整应考虑客户的规模，其企业诚信管理体系、产品和过程的范围、复杂程度和风险大小，以及经过证实的企业诚信管理体系有效性水平和以往审核的结果。</w:t>
      </w:r>
    </w:p>
    <w:p w14:paraId="33AA801C">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7.1.4 审核时间</w:t>
      </w:r>
    </w:p>
    <w:p w14:paraId="2F01918F">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公司应根据申请组织的具体情况，如企业诚信管理体系覆盖的活动范围、特性、技术复杂程度、风险程度、认证要求和有效人数，来测算审核时间并将测算方法及结果形成文件。公司应为每次审核计算审核时间。</w:t>
      </w:r>
    </w:p>
    <w:p w14:paraId="6A39D730">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如企业诚信管理体系覆盖多个场所，可依据CNAS-CC11《多场所组织的管理体系》及公司相关文件策划场所抽样和计算审核人日。</w:t>
      </w:r>
    </w:p>
    <w:p w14:paraId="48014E23">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59" w:name="_Toc200873897"/>
      <w:bookmarkStart w:id="60" w:name="_Toc12225"/>
      <w:r>
        <w:rPr>
          <w:rFonts w:hint="default" w:ascii="Times New Roman" w:hAnsi="Times New Roman" w:cs="Times New Roman"/>
        </w:rPr>
        <w:t>审核组</w:t>
      </w:r>
      <w:bookmarkEnd w:id="59"/>
      <w:bookmarkEnd w:id="60"/>
    </w:p>
    <w:p w14:paraId="751F7EA9">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5.2.1 公司应依据组织申请认证的企业诚信管理体系的范围组建具备能力（包括专业技术能力）的认证审核组，当审核组的专业技术能力不足时，可以配备该专业的技术专家。</w:t>
      </w:r>
    </w:p>
    <w:p w14:paraId="544B1374">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5.3.2 技术专家主要负责提供审核组的技术支持，不作为审核员实施审核，不计入审核时间。</w:t>
      </w:r>
    </w:p>
    <w:p w14:paraId="5F361EEF">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5.3.3 实习审核员应在审核员的指导下完成审核，不计入审核时间，其在审核过程中的活动由负责指导的审核员承担责任。</w:t>
      </w:r>
    </w:p>
    <w:p w14:paraId="3A4D8FD7">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61" w:name="_Toc200873898"/>
      <w:bookmarkStart w:id="62" w:name="_Toc16099"/>
      <w:r>
        <w:rPr>
          <w:rFonts w:hint="default" w:ascii="Times New Roman" w:hAnsi="Times New Roman" w:cs="Times New Roman"/>
        </w:rPr>
        <w:t>审核计划</w:t>
      </w:r>
      <w:bookmarkEnd w:id="61"/>
      <w:bookmarkEnd w:id="62"/>
    </w:p>
    <w:p w14:paraId="4C93FCDA">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5.3.1 审核组长应为每次现场审核制定审核计划。审核计划至少包括以下内容：审核目的、审核准则、审核范围、现场审核的日期、时间安排和场所、审核组成员及审核任务安排。审核计划应明确体现专业审核员和技术专家。</w:t>
      </w:r>
    </w:p>
    <w:p w14:paraId="6458178D">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5.3.2 现场审核应安排在受审核组织正常生产或服务时进行。</w:t>
      </w:r>
    </w:p>
    <w:p w14:paraId="00328E6F">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5.3.3 现场审核开始之前，应将审核计划提交给受审核方并经其确认。如需要临时调整审核计划，应经双方协商一致后实施。</w:t>
      </w:r>
      <w:bookmarkStart w:id="63" w:name="_Toc18671"/>
    </w:p>
    <w:p w14:paraId="2E8EDA6B">
      <w:pPr>
        <w:pStyle w:val="2"/>
        <w:numPr>
          <w:ilvl w:val="0"/>
          <w:numId w:val="1"/>
        </w:numPr>
        <w:bidi w:val="0"/>
        <w:rPr>
          <w:rFonts w:hint="default" w:ascii="Times New Roman" w:hAnsi="Times New Roman" w:cs="Times New Roman"/>
        </w:rPr>
      </w:pPr>
      <w:bookmarkStart w:id="64" w:name="_Toc200873940"/>
      <w:bookmarkStart w:id="65" w:name="_Toc30917"/>
      <w:bookmarkStart w:id="66" w:name="_Toc200873899"/>
      <w:bookmarkStart w:id="67" w:name="_Toc200875069"/>
      <w:bookmarkStart w:id="68" w:name="_Toc9131"/>
      <w:r>
        <w:rPr>
          <w:rFonts w:hint="default" w:ascii="Times New Roman" w:hAnsi="Times New Roman" w:cs="Times New Roman"/>
        </w:rPr>
        <w:t>审核实施</w:t>
      </w:r>
      <w:bookmarkEnd w:id="63"/>
      <w:bookmarkEnd w:id="64"/>
      <w:bookmarkEnd w:id="65"/>
      <w:bookmarkEnd w:id="66"/>
      <w:bookmarkEnd w:id="67"/>
      <w:bookmarkEnd w:id="68"/>
    </w:p>
    <w:p w14:paraId="395E0726">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69" w:name="_Toc200873900"/>
      <w:bookmarkStart w:id="70" w:name="_Toc10913"/>
      <w:r>
        <w:rPr>
          <w:rFonts w:hint="default" w:ascii="Times New Roman" w:hAnsi="Times New Roman" w:cs="Times New Roman"/>
        </w:rPr>
        <w:t>总要求</w:t>
      </w:r>
      <w:bookmarkEnd w:id="69"/>
      <w:bookmarkEnd w:id="70"/>
    </w:p>
    <w:p w14:paraId="70D966B0">
      <w:pPr>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r>
        <w:rPr>
          <w:rFonts w:hint="default" w:ascii="Times New Roman" w:hAnsi="Times New Roman" w:cs="Times New Roman"/>
        </w:rPr>
        <w:t>8.1.1审核组应按照审核计划实施审核，形成相应记录，审核组可采用不同形式记录审核过程，如文字、图片、音像。公司应保留相应记录。</w:t>
      </w:r>
    </w:p>
    <w:p w14:paraId="129B897B">
      <w:pPr>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r>
        <w:rPr>
          <w:rFonts w:hint="default" w:ascii="Times New Roman" w:hAnsi="Times New Roman" w:cs="Times New Roman"/>
        </w:rPr>
        <w:t>8.1.2审核组应会同受审核方召开首、末次会议，受审核方的管理层及相关管理体系职能部门的人员应参加会议。参会人员应签到，审核组应保留首、末次会议签到表。</w:t>
      </w:r>
    </w:p>
    <w:p w14:paraId="6F0E8975">
      <w:pPr>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r>
        <w:rPr>
          <w:rFonts w:hint="default" w:ascii="Times New Roman" w:hAnsi="Times New Roman" w:cs="Times New Roman"/>
        </w:rPr>
        <w:t>8.1.3发生下列情况时，审核组应向公司报告，经同意后中止审核。</w:t>
      </w:r>
    </w:p>
    <w:p w14:paraId="1BBC526E">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1）受审核方对审核活动不予配合，审核活动无法进行；</w:t>
      </w:r>
    </w:p>
    <w:p w14:paraId="22B3026E">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2）受审核方实际情况与申请材料有重大不一致；</w:t>
      </w:r>
    </w:p>
    <w:p w14:paraId="4870FFD7">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3）其他导致审核程序无法完成的情况。</w:t>
      </w:r>
    </w:p>
    <w:p w14:paraId="3213B8B1">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71" w:name="_Toc200873901"/>
      <w:bookmarkStart w:id="72" w:name="_Toc21372"/>
      <w:r>
        <w:rPr>
          <w:rFonts w:hint="default" w:ascii="Times New Roman" w:hAnsi="Times New Roman" w:cs="Times New Roman"/>
        </w:rPr>
        <w:t>初次认证审核</w:t>
      </w:r>
      <w:bookmarkEnd w:id="71"/>
      <w:bookmarkEnd w:id="72"/>
    </w:p>
    <w:p w14:paraId="39A1331F">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企业诚信管理体系的初次认证审核包括一阶段审核和一阶段审核通过后的二阶段现场审核。</w:t>
      </w:r>
    </w:p>
    <w:p w14:paraId="7832F769">
      <w:pPr>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r>
        <w:rPr>
          <w:rFonts w:hint="default" w:ascii="Times New Roman" w:hAnsi="Times New Roman" w:cs="Times New Roman"/>
        </w:rPr>
        <w:t>8.2.1一阶段审核</w:t>
      </w:r>
    </w:p>
    <w:p w14:paraId="564A7E77">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bookmarkStart w:id="73" w:name="_Toc23626"/>
      <w:r>
        <w:rPr>
          <w:rFonts w:hint="default" w:ascii="Times New Roman" w:hAnsi="Times New Roman" w:cs="Times New Roman"/>
          <w:szCs w:val="21"/>
        </w:rPr>
        <w:t>一阶段审核应依据公司文件评审相关要求对申请组织的企业诚信管理体系文件进行适宜性和充分性的评审，当评审过程中发现文件存在不符合而影响企业诚信管理体系的运行时，应告知申请组织进行及时的纠正和纠正措施。一阶段审核通过后，方可安排现场审核。</w:t>
      </w:r>
    </w:p>
    <w:p w14:paraId="02E276DF">
      <w:pPr>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r>
        <w:rPr>
          <w:rFonts w:hint="default" w:ascii="Times New Roman" w:hAnsi="Times New Roman" w:cs="Times New Roman"/>
        </w:rPr>
        <w:t>8.2.2二阶段审核</w:t>
      </w:r>
      <w:bookmarkEnd w:id="73"/>
    </w:p>
    <w:p w14:paraId="44F7021B">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通常情况下，二阶段审核应在受审核方的现场进行，审核组应依据公司相关文件要求，对照GB/T 31950-20</w:t>
      </w:r>
      <w:r>
        <w:rPr>
          <w:rFonts w:hint="default" w:ascii="Times New Roman" w:hAnsi="Times New Roman" w:cs="Times New Roman"/>
          <w:szCs w:val="21"/>
          <w:lang w:val="en-US" w:eastAsia="zh-CN"/>
        </w:rPr>
        <w:t>23</w:t>
      </w:r>
      <w:r>
        <w:rPr>
          <w:rFonts w:hint="default" w:ascii="Times New Roman" w:hAnsi="Times New Roman" w:cs="Times New Roman"/>
          <w:szCs w:val="21"/>
        </w:rPr>
        <w:t>《企业诚信管理体系》的全部条款评价受审核方管理体系的符合性和运行的有效性。</w:t>
      </w:r>
    </w:p>
    <w:p w14:paraId="5318AF62">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74" w:name="_Toc25284"/>
      <w:r>
        <w:rPr>
          <w:rFonts w:hint="default" w:ascii="Times New Roman" w:hAnsi="Times New Roman" w:cs="Times New Roman"/>
        </w:rPr>
        <w:t xml:space="preserve"> </w:t>
      </w:r>
      <w:bookmarkStart w:id="75" w:name="_Toc200873902"/>
      <w:r>
        <w:rPr>
          <w:rFonts w:hint="default" w:ascii="Times New Roman" w:hAnsi="Times New Roman" w:cs="Times New Roman"/>
        </w:rPr>
        <w:t>监督审核</w:t>
      </w:r>
      <w:bookmarkEnd w:id="74"/>
      <w:bookmarkEnd w:id="75"/>
    </w:p>
    <w:p w14:paraId="4086E8CC">
      <w:pPr>
        <w:keepNext w:val="0"/>
        <w:keepLines w:val="0"/>
        <w:pageBreakBefore w:val="0"/>
        <w:widowControl w:val="0"/>
        <w:kinsoku/>
        <w:wordWrap/>
        <w:overflowPunct/>
        <w:topLinePunct w:val="0"/>
        <w:bidi w:val="0"/>
        <w:adjustRightInd/>
        <w:snapToGrid/>
        <w:ind w:left="0" w:firstLine="420" w:firstLineChars="200"/>
        <w:textAlignment w:val="auto"/>
        <w:rPr>
          <w:rFonts w:hint="default" w:ascii="Times New Roman" w:hAnsi="Times New Roman" w:cs="Times New Roman"/>
        </w:rPr>
      </w:pPr>
      <w:r>
        <w:rPr>
          <w:rFonts w:hint="default" w:ascii="Times New Roman" w:hAnsi="Times New Roman" w:cs="Times New Roman"/>
        </w:rPr>
        <w:t>公司应对企业诚信管理体系获证组织开展监督审核，以确认其管理体系的持续符合性和有效性，除特殊事件或情况外，监督审核应在获证组织现场进行。</w:t>
      </w:r>
    </w:p>
    <w:p w14:paraId="1616C98D">
      <w:pPr>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r>
        <w:rPr>
          <w:rFonts w:hint="default" w:ascii="Times New Roman" w:hAnsi="Times New Roman" w:cs="Times New Roman"/>
        </w:rPr>
        <w:t>监督审核的内容应满足公司相关文件要求，并重点关注变更以及企业诚信管理体系绩效的持续改进。</w:t>
      </w:r>
    </w:p>
    <w:p w14:paraId="033ED103">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76" w:name="_Toc200873903"/>
      <w:bookmarkStart w:id="77" w:name="_Toc31415"/>
      <w:r>
        <w:rPr>
          <w:rFonts w:hint="default" w:ascii="Times New Roman" w:hAnsi="Times New Roman" w:cs="Times New Roman"/>
        </w:rPr>
        <w:t>再认证审核</w:t>
      </w:r>
      <w:bookmarkEnd w:id="76"/>
      <w:bookmarkEnd w:id="77"/>
    </w:p>
    <w:p w14:paraId="0963C494">
      <w:pPr>
        <w:keepNext w:val="0"/>
        <w:keepLines w:val="0"/>
        <w:pageBreakBefore w:val="0"/>
        <w:widowControl w:val="0"/>
        <w:kinsoku/>
        <w:wordWrap/>
        <w:overflowPunct/>
        <w:topLinePunct w:val="0"/>
        <w:bidi w:val="0"/>
        <w:adjustRightInd/>
        <w:snapToGrid/>
        <w:ind w:left="0" w:firstLine="420" w:firstLineChars="200"/>
        <w:textAlignment w:val="auto"/>
        <w:rPr>
          <w:rFonts w:hint="default" w:ascii="Times New Roman" w:hAnsi="Times New Roman" w:cs="Times New Roman"/>
        </w:rPr>
      </w:pPr>
      <w:r>
        <w:rPr>
          <w:rFonts w:hint="default" w:ascii="Times New Roman" w:hAnsi="Times New Roman" w:cs="Times New Roman"/>
        </w:rPr>
        <w:t>公司应依据获证组织的再认证申请实施再认证审核，以判断组织管理体系与相应认证标准的持续符合性和有效性。除特殊情况外，再认证审核应在认证证书到期前完成。</w:t>
      </w:r>
    </w:p>
    <w:p w14:paraId="54701394">
      <w:pPr>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r>
        <w:rPr>
          <w:rFonts w:hint="default" w:ascii="Times New Roman" w:hAnsi="Times New Roman" w:cs="Times New Roman"/>
        </w:rPr>
        <w:t>再认证审核的内容应满足公司相关文件的相应要求。</w:t>
      </w:r>
    </w:p>
    <w:p w14:paraId="6AABF053">
      <w:pPr>
        <w:pStyle w:val="2"/>
        <w:numPr>
          <w:ilvl w:val="0"/>
          <w:numId w:val="1"/>
        </w:numPr>
        <w:bidi w:val="0"/>
        <w:rPr>
          <w:rFonts w:hint="default" w:ascii="Times New Roman" w:hAnsi="Times New Roman" w:cs="Times New Roman"/>
        </w:rPr>
      </w:pPr>
      <w:bookmarkStart w:id="78" w:name="_Toc200875070"/>
      <w:bookmarkStart w:id="79" w:name="_Toc17317"/>
      <w:bookmarkStart w:id="80" w:name="_Toc200873941"/>
      <w:bookmarkStart w:id="81" w:name="_Toc28526"/>
      <w:bookmarkStart w:id="82" w:name="_Toc200873904"/>
      <w:bookmarkStart w:id="83" w:name="_Toc22118"/>
      <w:r>
        <w:rPr>
          <w:rFonts w:hint="default" w:ascii="Times New Roman" w:hAnsi="Times New Roman" w:cs="Times New Roman"/>
        </w:rPr>
        <w:t>不符合纠正的验证</w:t>
      </w:r>
      <w:bookmarkEnd w:id="78"/>
      <w:bookmarkEnd w:id="79"/>
      <w:bookmarkEnd w:id="80"/>
      <w:bookmarkEnd w:id="81"/>
      <w:bookmarkEnd w:id="82"/>
      <w:bookmarkEnd w:id="83"/>
    </w:p>
    <w:p w14:paraId="5489540F">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84" w:name="_Toc200873905"/>
      <w:r>
        <w:rPr>
          <w:rFonts w:hint="default" w:ascii="Times New Roman" w:hAnsi="Times New Roman" w:cs="Times New Roman"/>
        </w:rPr>
        <w:t>审核组应根据审核发现形成严重或轻微不符合，要求受审核方在规定的时限内对不符合进行原因分析、采取相应的纠正和纠正措施（轻微不符合可以是纠正措施计划）。公司应审查受审核方提交的纠正和纠正措施，以确定其是否可被接受。</w:t>
      </w:r>
      <w:bookmarkEnd w:id="84"/>
    </w:p>
    <w:p w14:paraId="07945C2A">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85" w:name="_Toc200873906"/>
      <w:r>
        <w:rPr>
          <w:rFonts w:hint="default" w:ascii="Times New Roman" w:hAnsi="Times New Roman" w:cs="Times New Roman"/>
        </w:rPr>
        <w:t>对于严重不符合，受审核方应在20个工作日内（再认证时还应在证书到期前）完成整改，公司应督促受审核方及时进行整改，并对其纠正和纠正措施的有效性进行验证。</w:t>
      </w:r>
      <w:bookmarkEnd w:id="85"/>
    </w:p>
    <w:p w14:paraId="2505D1CE">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86" w:name="_Toc200873907"/>
      <w:r>
        <w:rPr>
          <w:rFonts w:hint="default" w:ascii="Times New Roman" w:hAnsi="Times New Roman" w:cs="Times New Roman"/>
        </w:rPr>
        <w:t>对于组织未能在规定的时限完成对不符合所采取有效整改措施的情况，审核组不应给予该受审核方推荐认证、保持认证或再认证。</w:t>
      </w:r>
      <w:bookmarkEnd w:id="86"/>
    </w:p>
    <w:p w14:paraId="6B4E914B">
      <w:pPr>
        <w:pStyle w:val="2"/>
        <w:numPr>
          <w:ilvl w:val="0"/>
          <w:numId w:val="1"/>
        </w:numPr>
        <w:bidi w:val="0"/>
        <w:rPr>
          <w:rFonts w:hint="default" w:ascii="Times New Roman" w:hAnsi="Times New Roman" w:cs="Times New Roman"/>
        </w:rPr>
      </w:pPr>
      <w:bookmarkStart w:id="87" w:name="_Toc577"/>
      <w:bookmarkStart w:id="88" w:name="_Toc24456"/>
      <w:bookmarkStart w:id="89" w:name="_Toc24482"/>
      <w:bookmarkStart w:id="90" w:name="_Toc200875071"/>
      <w:bookmarkStart w:id="91" w:name="_Toc200873908"/>
      <w:bookmarkStart w:id="92" w:name="_Toc200873942"/>
      <w:r>
        <w:rPr>
          <w:rFonts w:hint="default" w:ascii="Times New Roman" w:hAnsi="Times New Roman" w:cs="Times New Roman"/>
        </w:rPr>
        <w:t>审核报告</w:t>
      </w:r>
      <w:bookmarkEnd w:id="87"/>
      <w:bookmarkEnd w:id="88"/>
      <w:bookmarkEnd w:id="89"/>
      <w:bookmarkEnd w:id="90"/>
      <w:bookmarkEnd w:id="91"/>
      <w:bookmarkEnd w:id="92"/>
    </w:p>
    <w:p w14:paraId="7207B87E">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93" w:name="_Toc200873909"/>
      <w:r>
        <w:rPr>
          <w:rFonts w:hint="default" w:ascii="Times New Roman" w:hAnsi="Times New Roman" w:cs="Times New Roman"/>
        </w:rPr>
        <w:t>公司应就每次审核向受审核方提供完整详实的审核报告。审核组长应对审核报告的内容负责。</w:t>
      </w:r>
      <w:bookmarkEnd w:id="93"/>
    </w:p>
    <w:p w14:paraId="08AD2892">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94" w:name="_Toc200873910"/>
      <w:r>
        <w:rPr>
          <w:rFonts w:hint="default" w:ascii="Times New Roman" w:hAnsi="Times New Roman" w:cs="Times New Roman"/>
        </w:rPr>
        <w:t>审核报告应由审核组长签字确认，其内容应反映受审核方管理体系运行的真实状况，描述对照GB/T 31950-20</w:t>
      </w:r>
      <w:r>
        <w:rPr>
          <w:rFonts w:hint="default" w:ascii="Times New Roman" w:hAnsi="Times New Roman" w:cs="Times New Roman"/>
          <w:lang w:val="en-US" w:eastAsia="zh-CN"/>
        </w:rPr>
        <w:t>23</w:t>
      </w:r>
      <w:r>
        <w:rPr>
          <w:rFonts w:hint="default" w:ascii="Times New Roman" w:hAnsi="Times New Roman" w:cs="Times New Roman"/>
        </w:rPr>
        <w:t>《企业诚信管理体系》的符合性和有效性的客观证据信息，及对认证结论的推荐意见。审核报告的内容应满足《管理体系审核报告编写规范》的相应要求，重点反映受审核方企业诚信管理体系所取得的绩效，受审核方实际情况与其预期管理体系目标之间存在的差距和改进机会。</w:t>
      </w:r>
      <w:bookmarkEnd w:id="94"/>
    </w:p>
    <w:p w14:paraId="75FA2B7F">
      <w:pPr>
        <w:pStyle w:val="2"/>
        <w:numPr>
          <w:ilvl w:val="0"/>
          <w:numId w:val="1"/>
        </w:numPr>
        <w:bidi w:val="0"/>
        <w:rPr>
          <w:rFonts w:hint="default" w:ascii="Times New Roman" w:hAnsi="Times New Roman" w:cs="Times New Roman"/>
        </w:rPr>
      </w:pPr>
      <w:bookmarkStart w:id="95" w:name="_Toc200873943"/>
      <w:bookmarkStart w:id="96" w:name="_Toc200873911"/>
      <w:bookmarkStart w:id="97" w:name="_Toc29414"/>
      <w:bookmarkStart w:id="98" w:name="_Toc200875072"/>
      <w:bookmarkStart w:id="99" w:name="_Toc22700"/>
      <w:bookmarkStart w:id="100" w:name="_Toc10712"/>
      <w:r>
        <w:rPr>
          <w:rFonts w:hint="default" w:ascii="Times New Roman" w:hAnsi="Times New Roman" w:cs="Times New Roman"/>
        </w:rPr>
        <w:t>认证决定</w:t>
      </w:r>
      <w:bookmarkEnd w:id="95"/>
      <w:bookmarkEnd w:id="96"/>
      <w:bookmarkEnd w:id="97"/>
      <w:bookmarkEnd w:id="98"/>
      <w:bookmarkEnd w:id="99"/>
      <w:bookmarkEnd w:id="100"/>
    </w:p>
    <w:p w14:paraId="43927860">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101" w:name="_Toc200873912"/>
      <w:r>
        <w:rPr>
          <w:rFonts w:hint="default" w:ascii="Times New Roman" w:hAnsi="Times New Roman" w:cs="Times New Roman"/>
        </w:rPr>
        <w:t>公司应在对审核报告、不符合项的纠正和纠正措施及其结果以及其他信息进行综合评价的基础上作出认证决定。认证决定人员应为公司管理控制下的人员，且不应为审核组成员。</w:t>
      </w:r>
      <w:bookmarkEnd w:id="101"/>
    </w:p>
    <w:p w14:paraId="1FC11ECD">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102" w:name="_Toc200873913"/>
      <w:r>
        <w:rPr>
          <w:rFonts w:hint="default" w:ascii="Times New Roman" w:hAnsi="Times New Roman" w:cs="Times New Roman"/>
        </w:rPr>
        <w:t>经评定，公司有充分的证据确认受审核方满足下列条件时，可做出授予认证的决定：</w:t>
      </w:r>
      <w:bookmarkEnd w:id="102"/>
    </w:p>
    <w:p w14:paraId="4EC75279">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1）具备应有的法定资格、资质；</w:t>
      </w:r>
    </w:p>
    <w:p w14:paraId="4FB3C80B">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2）企业诚信管理体系覆盖的活动、产品和服务符合相关法律法规要求，未发生重大事故和严重违法行为；</w:t>
      </w:r>
    </w:p>
    <w:p w14:paraId="3F0E30E7">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3）对于严重不符合项，已评审、接受并验证了纠正和纠正措施的有效性；对于一般不符合项，已评审、接受了受审核方的纠正和纠正措施或计划采取的纠正和纠正措施；</w:t>
      </w:r>
    </w:p>
    <w:p w14:paraId="1E76DEC5">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4）受审核方的管理体系总体符合GB/T 31950-20</w:t>
      </w:r>
      <w:r>
        <w:rPr>
          <w:rFonts w:hint="eastAsia" w:ascii="Times New Roman" w:hAnsi="Times New Roman" w:cs="Times New Roman"/>
          <w:szCs w:val="21"/>
          <w:lang w:val="en-US" w:eastAsia="zh-CN"/>
        </w:rPr>
        <w:t>23</w:t>
      </w:r>
      <w:r>
        <w:rPr>
          <w:rFonts w:hint="default" w:ascii="Times New Roman" w:hAnsi="Times New Roman" w:cs="Times New Roman"/>
          <w:szCs w:val="21"/>
        </w:rPr>
        <w:t>《企业诚信管理体系》的要求且运行有效；</w:t>
      </w:r>
    </w:p>
    <w:p w14:paraId="514CDEAB">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5）申请组织履行了认证合同或等效文件规定的相关义务。</w:t>
      </w:r>
    </w:p>
    <w:p w14:paraId="0D071B51">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103" w:name="_Toc200873914"/>
      <w:r>
        <w:rPr>
          <w:rFonts w:hint="default" w:ascii="Times New Roman" w:hAnsi="Times New Roman" w:cs="Times New Roman"/>
        </w:rPr>
        <w:t>授予组织的企业诚信管理体系认证范围应基于组织的法律地位文件及审核范围，不得大于其营业执照范围和行政许可范围及审核范围。</w:t>
      </w:r>
      <w:bookmarkEnd w:id="103"/>
    </w:p>
    <w:p w14:paraId="44819DCD">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104" w:name="_Toc200873915"/>
      <w:r>
        <w:rPr>
          <w:rFonts w:hint="default" w:ascii="Times New Roman" w:hAnsi="Times New Roman" w:cs="Times New Roman"/>
        </w:rPr>
        <w:t>对于不符合认证要求的申请组织，公司应书面告知其不能通过认证的原因。</w:t>
      </w:r>
      <w:bookmarkEnd w:id="104"/>
    </w:p>
    <w:p w14:paraId="3B8F9ED5">
      <w:pPr>
        <w:pStyle w:val="2"/>
        <w:numPr>
          <w:ilvl w:val="0"/>
          <w:numId w:val="1"/>
        </w:numPr>
        <w:bidi w:val="0"/>
        <w:rPr>
          <w:rFonts w:hint="default" w:ascii="Times New Roman" w:hAnsi="Times New Roman" w:cs="Times New Roman"/>
        </w:rPr>
      </w:pPr>
      <w:bookmarkStart w:id="105" w:name="_Toc31465"/>
      <w:bookmarkStart w:id="106" w:name="_Toc200875073"/>
      <w:bookmarkStart w:id="107" w:name="_Toc200873916"/>
      <w:bookmarkStart w:id="108" w:name="_Toc13402"/>
      <w:bookmarkStart w:id="109" w:name="_Toc15610"/>
      <w:bookmarkStart w:id="110" w:name="_Toc200873944"/>
      <w:r>
        <w:rPr>
          <w:rFonts w:hint="default" w:ascii="Times New Roman" w:hAnsi="Times New Roman" w:cs="Times New Roman"/>
        </w:rPr>
        <w:t>企业诚信管理体系认证证书</w:t>
      </w:r>
      <w:bookmarkEnd w:id="105"/>
      <w:bookmarkEnd w:id="106"/>
      <w:bookmarkEnd w:id="107"/>
      <w:bookmarkEnd w:id="108"/>
      <w:bookmarkEnd w:id="109"/>
      <w:bookmarkEnd w:id="110"/>
    </w:p>
    <w:p w14:paraId="0FCD37A9">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szCs w:val="21"/>
        </w:rPr>
      </w:pPr>
      <w:bookmarkStart w:id="111" w:name="_Toc200873917"/>
      <w:r>
        <w:rPr>
          <w:rFonts w:hint="default" w:ascii="Times New Roman" w:hAnsi="Times New Roman" w:cs="Times New Roman"/>
          <w:szCs w:val="21"/>
        </w:rPr>
        <w:t>公司应向认证决定结论为符合要求的组织颁发认证证书，认证证书的生效日期不应早于认证决定的日期。</w:t>
      </w:r>
      <w:bookmarkEnd w:id="111"/>
    </w:p>
    <w:p w14:paraId="4EDCFF8C">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szCs w:val="21"/>
        </w:rPr>
      </w:pPr>
      <w:bookmarkStart w:id="112" w:name="_Toc200873918"/>
      <w:r>
        <w:rPr>
          <w:rFonts w:hint="default" w:ascii="Times New Roman" w:hAnsi="Times New Roman" w:cs="Times New Roman"/>
          <w:szCs w:val="21"/>
        </w:rPr>
        <w:t>再认证证书的终止日期不应超过上一认证周期认证证书的终止日期再加三年。</w:t>
      </w:r>
      <w:bookmarkEnd w:id="112"/>
    </w:p>
    <w:p w14:paraId="0F447DB2">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szCs w:val="21"/>
        </w:rPr>
      </w:pPr>
      <w:bookmarkStart w:id="113" w:name="_Toc200873919"/>
      <w:r>
        <w:rPr>
          <w:rFonts w:hint="default" w:ascii="Times New Roman" w:hAnsi="Times New Roman" w:cs="Times New Roman"/>
          <w:szCs w:val="21"/>
        </w:rPr>
        <w:t>企业诚信管理体系认证证书载明的信息应清晰、明确、容易理解，设计上不会以任何方式产生误导。</w:t>
      </w:r>
      <w:bookmarkEnd w:id="113"/>
    </w:p>
    <w:p w14:paraId="5196D55A">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szCs w:val="21"/>
        </w:rPr>
      </w:pPr>
      <w:bookmarkStart w:id="114" w:name="_Toc200873920"/>
      <w:r>
        <w:rPr>
          <w:rFonts w:hint="default" w:ascii="Times New Roman" w:hAnsi="Times New Roman" w:cs="Times New Roman"/>
          <w:szCs w:val="21"/>
        </w:rPr>
        <w:t>企业诚信管理体系认证证书载明的获证组织及认证有关的信息应真实、准确，不违反法规要求，至少包含以下内容：</w:t>
      </w:r>
      <w:bookmarkEnd w:id="114"/>
    </w:p>
    <w:p w14:paraId="2283C6AC">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1）获证组织名称、注册地址，如经营地与注册地址不同，还应注明经营地址。若认证的企业诚信管理体系覆盖多场所，应表述认证所覆盖的所有场所的名称和地址信息（临时场所除外）；</w:t>
      </w:r>
    </w:p>
    <w:p w14:paraId="34697A52">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2）获证组织的管理体系所覆盖的产品、活动、服务的范围；</w:t>
      </w:r>
    </w:p>
    <w:p w14:paraId="4D865A5B">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3）认证依据标准，即GB/T 31950-20</w:t>
      </w:r>
      <w:r>
        <w:rPr>
          <w:rFonts w:hint="default" w:ascii="Times New Roman" w:hAnsi="Times New Roman" w:cs="Times New Roman"/>
          <w:szCs w:val="21"/>
          <w:lang w:val="en-US" w:eastAsia="zh-CN"/>
        </w:rPr>
        <w:t>2023</w:t>
      </w:r>
      <w:r>
        <w:rPr>
          <w:rFonts w:hint="default" w:ascii="Times New Roman" w:hAnsi="Times New Roman" w:cs="Times New Roman"/>
          <w:szCs w:val="21"/>
        </w:rPr>
        <w:t>《企业诚信管理体系》；</w:t>
      </w:r>
    </w:p>
    <w:p w14:paraId="3645223C">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4）发证日期和有效期；</w:t>
      </w:r>
    </w:p>
    <w:p w14:paraId="153F3516">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注：当证书失效一段时间，公司在满足下列条件时，可在证书上保留原始的认证日期：</w:t>
      </w:r>
    </w:p>
    <w:p w14:paraId="34E445F0">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清晰标示了当前认证周期的开始时间和截止时间；</w:t>
      </w:r>
    </w:p>
    <w:p w14:paraId="345BE3D3">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把上一认证周期截止时间连同再认证审核的时间一起标示。</w:t>
      </w:r>
    </w:p>
    <w:p w14:paraId="443FF51C">
      <w:pPr>
        <w:keepNext w:val="0"/>
        <w:keepLines w:val="0"/>
        <w:pageBreakBefore w:val="0"/>
        <w:widowControl w:val="0"/>
        <w:numPr>
          <w:ilvl w:val="0"/>
          <w:numId w:val="4"/>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证书编号；</w:t>
      </w:r>
    </w:p>
    <w:p w14:paraId="64AB1CBE">
      <w:pPr>
        <w:keepNext w:val="0"/>
        <w:keepLines w:val="0"/>
        <w:pageBreakBefore w:val="0"/>
        <w:widowControl w:val="0"/>
        <w:numPr>
          <w:ilvl w:val="0"/>
          <w:numId w:val="4"/>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公司名称、地址和认证标志；</w:t>
      </w:r>
    </w:p>
    <w:p w14:paraId="62BCD844">
      <w:pPr>
        <w:keepNext w:val="0"/>
        <w:keepLines w:val="0"/>
        <w:pageBreakBefore w:val="0"/>
        <w:widowControl w:val="0"/>
        <w:numPr>
          <w:ilvl w:val="0"/>
          <w:numId w:val="4"/>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证书信息及证书状态的查询途径。</w:t>
      </w:r>
      <w:bookmarkStart w:id="115" w:name="_Toc8626"/>
    </w:p>
    <w:p w14:paraId="01C19F3E">
      <w:pPr>
        <w:pStyle w:val="2"/>
        <w:numPr>
          <w:ilvl w:val="0"/>
          <w:numId w:val="1"/>
        </w:numPr>
        <w:bidi w:val="0"/>
        <w:rPr>
          <w:rFonts w:hint="default" w:ascii="Times New Roman" w:hAnsi="Times New Roman" w:cs="Times New Roman"/>
        </w:rPr>
      </w:pPr>
      <w:bookmarkStart w:id="116" w:name="_Toc200873945"/>
      <w:bookmarkStart w:id="117" w:name="_Toc200873921"/>
      <w:bookmarkStart w:id="118" w:name="_Toc26212"/>
      <w:bookmarkStart w:id="119" w:name="_Toc5197"/>
      <w:bookmarkStart w:id="120" w:name="_Toc200875074"/>
      <w:r>
        <w:rPr>
          <w:rFonts w:hint="default" w:ascii="Times New Roman" w:hAnsi="Times New Roman" w:cs="Times New Roman"/>
        </w:rPr>
        <w:t>企业诚信管理体系认证证书的暂停和撤销</w:t>
      </w:r>
      <w:bookmarkEnd w:id="115"/>
      <w:bookmarkEnd w:id="116"/>
      <w:bookmarkEnd w:id="117"/>
      <w:bookmarkEnd w:id="118"/>
      <w:bookmarkEnd w:id="119"/>
      <w:bookmarkEnd w:id="120"/>
    </w:p>
    <w:p w14:paraId="7C06CEA2">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121" w:name="_Toc200873922"/>
      <w:bookmarkStart w:id="122" w:name="_Toc6001"/>
      <w:r>
        <w:rPr>
          <w:rFonts w:hint="default" w:ascii="Times New Roman" w:hAnsi="Times New Roman" w:cs="Times New Roman"/>
        </w:rPr>
        <w:t>总则</w:t>
      </w:r>
      <w:bookmarkEnd w:id="121"/>
      <w:bookmarkEnd w:id="122"/>
    </w:p>
    <w:p w14:paraId="2C321723">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13.1.1 公司应制定暂停、撤销、恢复企业诚信管理体系认证证书的管理规定，并遵照执行，不应随意暂停、撤销和恢复认证。</w:t>
      </w:r>
    </w:p>
    <w:p w14:paraId="18AE750E">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13.1.2 公司应在暂停、撤销或恢复认证决定生效后的2个工作日内将相关信息报送至</w:t>
      </w:r>
      <w:r>
        <w:rPr>
          <w:rFonts w:hint="eastAsia" w:ascii="Times New Roman" w:hAnsi="Times New Roman" w:cs="Times New Roman"/>
          <w:szCs w:val="21"/>
          <w:lang w:eastAsia="zh-CN"/>
        </w:rPr>
        <w:t>“</w:t>
      </w:r>
      <w:r>
        <w:rPr>
          <w:rFonts w:hint="default" w:ascii="Times New Roman" w:hAnsi="Times New Roman" w:cs="Times New Roman"/>
          <w:szCs w:val="21"/>
        </w:rPr>
        <w:t>CNCA认证认可业务信息统一上报平台</w:t>
      </w:r>
      <w:r>
        <w:rPr>
          <w:rFonts w:hint="eastAsia" w:ascii="Times New Roman" w:hAnsi="Times New Roman" w:cs="Times New Roman"/>
          <w:szCs w:val="21"/>
          <w:lang w:eastAsia="zh-CN"/>
        </w:rPr>
        <w:t>”</w:t>
      </w:r>
      <w:r>
        <w:rPr>
          <w:rFonts w:hint="default" w:ascii="Times New Roman" w:hAnsi="Times New Roman" w:cs="Times New Roman"/>
          <w:szCs w:val="21"/>
        </w:rPr>
        <w:t>。</w:t>
      </w:r>
    </w:p>
    <w:p w14:paraId="77CD5DAB">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123" w:name="_Toc200873923"/>
      <w:bookmarkStart w:id="124" w:name="_Toc13"/>
      <w:r>
        <w:rPr>
          <w:rFonts w:hint="default" w:ascii="Times New Roman" w:hAnsi="Times New Roman" w:cs="Times New Roman"/>
        </w:rPr>
        <w:t>企业诚信管理体系认证证书的暂停</w:t>
      </w:r>
      <w:bookmarkEnd w:id="123"/>
      <w:bookmarkEnd w:id="124"/>
    </w:p>
    <w:p w14:paraId="1C8F632F">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13.2.1 获证组织有以下情形之一的，公司应在调查核实后的5日内暂停其认证证书：</w:t>
      </w:r>
    </w:p>
    <w:p w14:paraId="43DCB181">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1）企业诚信管理体系持续或严重不满足认证要求的；</w:t>
      </w:r>
    </w:p>
    <w:p w14:paraId="04927AE2">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2）故意或持续不满足企业诚信管理体系适用的法律法规要求的；</w:t>
      </w:r>
    </w:p>
    <w:p w14:paraId="0280DB7D">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3）被有关执法监管部门责令停业整顿的；</w:t>
      </w:r>
    </w:p>
    <w:p w14:paraId="24710468">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4）发生重大事故/事件的；</w:t>
      </w:r>
    </w:p>
    <w:p w14:paraId="1EC2D3E4">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5）拒绝配合执法监管部门的监督检查，或提供虚假材料或信息的；</w:t>
      </w:r>
    </w:p>
    <w:p w14:paraId="33478E99">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6）持有的与企业诚信管理体系范围有关的行政许可证明、资质证书、强制性产品认证证书等过期失效的；</w:t>
      </w:r>
    </w:p>
    <w:p w14:paraId="5B3642F8">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7）不能按照规定的时间间隔接受监督的；</w:t>
      </w:r>
    </w:p>
    <w:p w14:paraId="4BB4178F">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8）未按相关规定正确引用和宣传获得的认证信息，造成严重影响或后果的；</w:t>
      </w:r>
    </w:p>
    <w:p w14:paraId="56F89F44">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9）不承担、履行认证合同约定的责任和义务的；</w:t>
      </w:r>
    </w:p>
    <w:p w14:paraId="1B02D723">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10）主动请求暂停的；</w:t>
      </w:r>
    </w:p>
    <w:p w14:paraId="57040E9D">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11）其他应暂停认证证书的。</w:t>
      </w:r>
    </w:p>
    <w:p w14:paraId="51B18004">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13.2.2 公司可根据暂停的原因和性质规定暂停的期限，但暂停期限最长不应超过6个月。暂停到期后，公司应恢复或撤销认证证书。</w:t>
      </w:r>
    </w:p>
    <w:p w14:paraId="2188F145">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13.2.3 公司应以报送CNCA、网站发布、告知客户等方式公开暂停企业诚信管理体系认证证书的信息，明确暂停的起始日期和暂停期限，并声明在暂停期间获证组织不得以任何方式使用认证证书、认证标志或引用认证信息。</w:t>
      </w:r>
    </w:p>
    <w:p w14:paraId="1D9CB96A">
      <w:pPr>
        <w:keepNext w:val="0"/>
        <w:keepLines w:val="0"/>
        <w:pageBreakBefore w:val="0"/>
        <w:widowControl w:val="0"/>
        <w:kinsoku/>
        <w:wordWrap/>
        <w:overflowPunct/>
        <w:topLinePunct w:val="0"/>
        <w:bidi w:val="0"/>
        <w:adjustRightInd/>
        <w:snapToGrid/>
        <w:ind w:left="0" w:firstLine="0"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13.2.4 在公司规定的时限内，如果被暂停认证资格的获证组织采取了有效的纠正措施，造成暂停的问题已解决，公司应恢复被暂停的企业诚信管理体系认证证书并保留相应证据。</w:t>
      </w:r>
    </w:p>
    <w:p w14:paraId="2081C6B7">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rPr>
      </w:pPr>
      <w:bookmarkStart w:id="125" w:name="_Toc7961"/>
      <w:bookmarkStart w:id="126" w:name="_Toc200873924"/>
      <w:r>
        <w:rPr>
          <w:rFonts w:hint="default" w:ascii="Times New Roman" w:hAnsi="Times New Roman" w:cs="Times New Roman"/>
        </w:rPr>
        <w:t>企业诚信管理体系认证证书的撤销</w:t>
      </w:r>
      <w:bookmarkEnd w:id="125"/>
      <w:bookmarkEnd w:id="126"/>
    </w:p>
    <w:p w14:paraId="2DB11E97">
      <w:pPr>
        <w:keepNext w:val="0"/>
        <w:keepLines w:val="0"/>
        <w:pageBreakBefore w:val="0"/>
        <w:widowControl w:val="0"/>
        <w:kinsoku/>
        <w:wordWrap/>
        <w:overflowPunct/>
        <w:topLinePunct w:val="0"/>
        <w:bidi w:val="0"/>
        <w:adjustRightInd/>
        <w:snapToGrid/>
        <w:ind w:left="0" w:firstLine="420" w:firstLineChars="200"/>
        <w:contextualSpacing/>
        <w:textAlignment w:val="auto"/>
        <w:rPr>
          <w:rFonts w:hint="default" w:ascii="Times New Roman" w:hAnsi="Times New Roman" w:cs="Times New Roman"/>
          <w:szCs w:val="21"/>
        </w:rPr>
      </w:pPr>
      <w:r>
        <w:rPr>
          <w:rFonts w:hint="default" w:ascii="Times New Roman" w:hAnsi="Times New Roman" w:cs="Times New Roman"/>
          <w:szCs w:val="21"/>
        </w:rPr>
        <w:t>获证组织有以下情形之一的，公司应在获取相关信息并调查核实后5日内撤销其企业诚信管理体系认证证书：</w:t>
      </w:r>
    </w:p>
    <w:p w14:paraId="7EEF64F6">
      <w:pPr>
        <w:keepNext w:val="0"/>
        <w:keepLines w:val="0"/>
        <w:pageBreakBefore w:val="0"/>
        <w:widowControl w:val="0"/>
        <w:numPr>
          <w:ilvl w:val="0"/>
          <w:numId w:val="5"/>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被注销或撤销法律地位证明文件的；</w:t>
      </w:r>
    </w:p>
    <w:p w14:paraId="410136F7">
      <w:pPr>
        <w:keepNext w:val="0"/>
        <w:keepLines w:val="0"/>
        <w:pageBreakBefore w:val="0"/>
        <w:widowControl w:val="0"/>
        <w:numPr>
          <w:ilvl w:val="0"/>
          <w:numId w:val="5"/>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被执法监管部门认定存在严重违法失信行为的；</w:t>
      </w:r>
    </w:p>
    <w:p w14:paraId="66A67679">
      <w:pPr>
        <w:keepNext w:val="0"/>
        <w:keepLines w:val="0"/>
        <w:pageBreakBefore w:val="0"/>
        <w:widowControl w:val="0"/>
        <w:numPr>
          <w:ilvl w:val="0"/>
          <w:numId w:val="5"/>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认证证书的暂停期限已满，但导致暂停的问题未得到解决或有效纠正的；</w:t>
      </w:r>
    </w:p>
    <w:p w14:paraId="19003BF2">
      <w:pPr>
        <w:keepNext w:val="0"/>
        <w:keepLines w:val="0"/>
        <w:pageBreakBefore w:val="0"/>
        <w:widowControl w:val="0"/>
        <w:numPr>
          <w:ilvl w:val="0"/>
          <w:numId w:val="5"/>
        </w:numPr>
        <w:kinsoku/>
        <w:wordWrap/>
        <w:overflowPunct/>
        <w:topLinePunct w:val="0"/>
        <w:autoSpaceDE/>
        <w:autoSpaceDN/>
        <w:bidi w:val="0"/>
        <w:adjustRightInd/>
        <w:snapToGrid/>
        <w:ind w:left="0" w:leftChars="0" w:firstLine="454" w:firstLineChars="0"/>
        <w:contextualSpacing/>
        <w:textAlignment w:val="auto"/>
        <w:rPr>
          <w:rFonts w:hint="default" w:ascii="Times New Roman" w:hAnsi="Times New Roman" w:cs="Times New Roman"/>
          <w:szCs w:val="21"/>
        </w:rPr>
      </w:pPr>
      <w:r>
        <w:rPr>
          <w:rFonts w:hint="default" w:ascii="Times New Roman" w:hAnsi="Times New Roman" w:cs="Times New Roman"/>
          <w:szCs w:val="21"/>
        </w:rPr>
        <w:t>其他应撤销认证证书的。</w:t>
      </w:r>
      <w:bookmarkStart w:id="127" w:name="_Toc21512"/>
    </w:p>
    <w:p w14:paraId="390867AA">
      <w:pPr>
        <w:pStyle w:val="2"/>
        <w:numPr>
          <w:ilvl w:val="0"/>
          <w:numId w:val="1"/>
        </w:numPr>
        <w:bidi w:val="0"/>
        <w:rPr>
          <w:rFonts w:hint="default" w:ascii="Times New Roman" w:hAnsi="Times New Roman" w:cs="Times New Roman"/>
        </w:rPr>
      </w:pPr>
      <w:bookmarkStart w:id="128" w:name="_Toc36"/>
      <w:bookmarkStart w:id="129" w:name="_Toc200873925"/>
      <w:bookmarkStart w:id="130" w:name="_Toc200873946"/>
      <w:bookmarkStart w:id="131" w:name="_Toc3917"/>
      <w:bookmarkStart w:id="132" w:name="_Toc200875075"/>
      <w:r>
        <w:rPr>
          <w:rFonts w:hint="default" w:ascii="Times New Roman" w:hAnsi="Times New Roman" w:cs="Times New Roman"/>
        </w:rPr>
        <w:t>申诉、投诉处理</w:t>
      </w:r>
      <w:bookmarkEnd w:id="127"/>
      <w:bookmarkEnd w:id="128"/>
      <w:bookmarkEnd w:id="129"/>
      <w:bookmarkEnd w:id="130"/>
      <w:bookmarkEnd w:id="131"/>
      <w:bookmarkEnd w:id="132"/>
    </w:p>
    <w:p w14:paraId="127DB9CE">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szCs w:val="21"/>
        </w:rPr>
      </w:pPr>
      <w:bookmarkStart w:id="133" w:name="_Toc200873926"/>
      <w:r>
        <w:rPr>
          <w:rFonts w:hint="default" w:ascii="Times New Roman" w:hAnsi="Times New Roman" w:cs="Times New Roman"/>
          <w:szCs w:val="21"/>
        </w:rPr>
        <w:t>公司应建立申诉、投诉处理程序。受审核方对认证决定有异议时，可在认证决定做出后的30个工作日内向公司提出申诉。任何组织和个人对认证过程和决定有异议的可以向公司提出投诉。</w:t>
      </w:r>
      <w:bookmarkEnd w:id="133"/>
    </w:p>
    <w:p w14:paraId="4FD2AF00">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szCs w:val="21"/>
        </w:rPr>
      </w:pPr>
      <w:r>
        <w:rPr>
          <w:rFonts w:hint="default" w:ascii="Times New Roman" w:hAnsi="Times New Roman" w:cs="Times New Roman"/>
          <w:szCs w:val="21"/>
        </w:rPr>
        <w:t xml:space="preserve"> </w:t>
      </w:r>
      <w:bookmarkStart w:id="134" w:name="_Toc200873927"/>
      <w:r>
        <w:rPr>
          <w:rFonts w:hint="default" w:ascii="Times New Roman" w:hAnsi="Times New Roman" w:cs="Times New Roman"/>
          <w:szCs w:val="21"/>
        </w:rPr>
        <w:t>公司应及时、公正、有效地处理申诉和投诉，必要时采取纠正措施。</w:t>
      </w:r>
      <w:bookmarkEnd w:id="134"/>
      <w:bookmarkStart w:id="135" w:name="_Toc26869"/>
    </w:p>
    <w:p w14:paraId="1B49AC64">
      <w:pPr>
        <w:pStyle w:val="15"/>
        <w:keepNext w:val="0"/>
        <w:keepLines w:val="0"/>
        <w:pageBreakBefore w:val="0"/>
        <w:widowControl w:val="0"/>
        <w:numPr>
          <w:ilvl w:val="1"/>
          <w:numId w:val="0"/>
        </w:numPr>
        <w:kinsoku/>
        <w:wordWrap/>
        <w:overflowPunct/>
        <w:topLinePunct w:val="0"/>
        <w:bidi w:val="0"/>
        <w:adjustRightInd/>
        <w:snapToGrid/>
        <w:ind w:leftChars="0"/>
        <w:textAlignment w:val="auto"/>
        <w:rPr>
          <w:rFonts w:hint="default" w:ascii="Times New Roman" w:hAnsi="Times New Roman" w:cs="Times New Roman"/>
          <w:szCs w:val="21"/>
        </w:rPr>
      </w:pPr>
    </w:p>
    <w:p w14:paraId="60906FAF">
      <w:pPr>
        <w:pStyle w:val="2"/>
        <w:numPr>
          <w:ilvl w:val="0"/>
          <w:numId w:val="1"/>
        </w:numPr>
        <w:bidi w:val="0"/>
        <w:rPr>
          <w:rFonts w:hint="default" w:ascii="Times New Roman" w:hAnsi="Times New Roman" w:cs="Times New Roman"/>
        </w:rPr>
      </w:pPr>
      <w:bookmarkStart w:id="136" w:name="_Toc16885"/>
      <w:bookmarkStart w:id="137" w:name="_Toc200875076"/>
      <w:bookmarkStart w:id="138" w:name="_Toc200873928"/>
      <w:bookmarkStart w:id="139" w:name="_Toc10781"/>
      <w:bookmarkStart w:id="140" w:name="_Toc200873947"/>
      <w:r>
        <w:rPr>
          <w:rFonts w:hint="default" w:ascii="Times New Roman" w:hAnsi="Times New Roman" w:cs="Times New Roman"/>
        </w:rPr>
        <w:t>记录</w:t>
      </w:r>
      <w:bookmarkEnd w:id="135"/>
      <w:bookmarkEnd w:id="136"/>
      <w:bookmarkEnd w:id="137"/>
      <w:bookmarkEnd w:id="138"/>
      <w:bookmarkEnd w:id="139"/>
      <w:bookmarkEnd w:id="140"/>
    </w:p>
    <w:p w14:paraId="201980DD">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szCs w:val="21"/>
        </w:rPr>
      </w:pPr>
      <w:bookmarkStart w:id="141" w:name="_Toc200873929"/>
      <w:r>
        <w:rPr>
          <w:rFonts w:hint="default" w:ascii="Times New Roman" w:hAnsi="Times New Roman" w:cs="Times New Roman"/>
          <w:szCs w:val="21"/>
        </w:rPr>
        <w:t>公司应建立认证记录保持制度，记录认证活动全过程并妥善保存。</w:t>
      </w:r>
      <w:bookmarkEnd w:id="141"/>
    </w:p>
    <w:p w14:paraId="0D717488">
      <w:pPr>
        <w:pStyle w:val="15"/>
        <w:keepNext w:val="0"/>
        <w:keepLines w:val="0"/>
        <w:pageBreakBefore w:val="0"/>
        <w:widowControl w:val="0"/>
        <w:kinsoku/>
        <w:wordWrap/>
        <w:overflowPunct/>
        <w:topLinePunct w:val="0"/>
        <w:bidi w:val="0"/>
        <w:adjustRightInd/>
        <w:snapToGrid/>
        <w:ind w:left="0" w:firstLine="0" w:firstLineChars="0"/>
        <w:textAlignment w:val="auto"/>
        <w:rPr>
          <w:rFonts w:hint="default" w:ascii="Times New Roman" w:hAnsi="Times New Roman" w:cs="Times New Roman"/>
          <w:szCs w:val="21"/>
        </w:rPr>
      </w:pPr>
      <w:bookmarkStart w:id="142" w:name="_Toc200873930"/>
      <w:r>
        <w:rPr>
          <w:rFonts w:hint="default" w:ascii="Times New Roman" w:hAnsi="Times New Roman" w:cs="Times New Roman"/>
          <w:szCs w:val="21"/>
        </w:rPr>
        <w:t>记录应真实、准确，以证实认证活动得到有效实施。认证记录应使用中文，存档留存时间应满足公司相应文件的要求。</w:t>
      </w:r>
      <w:bookmarkEnd w:id="142"/>
    </w:p>
    <w:p w14:paraId="54903B81">
      <w:pPr>
        <w:pStyle w:val="15"/>
        <w:keepNext w:val="0"/>
        <w:keepLines w:val="0"/>
        <w:pageBreakBefore w:val="0"/>
        <w:widowControl w:val="0"/>
        <w:kinsoku/>
        <w:wordWrap/>
        <w:overflowPunct/>
        <w:topLinePunct w:val="0"/>
        <w:bidi w:val="0"/>
        <w:adjustRightInd/>
        <w:snapToGrid/>
        <w:ind w:left="0" w:firstLine="0" w:firstLineChars="0"/>
        <w:textAlignment w:val="auto"/>
        <w:rPr>
          <w:rFonts w:hint="eastAsia"/>
          <w:szCs w:val="21"/>
        </w:rPr>
      </w:pPr>
      <w:bookmarkStart w:id="143" w:name="_Toc200873931"/>
      <w:r>
        <w:rPr>
          <w:rFonts w:hint="default" w:ascii="Times New Roman" w:hAnsi="Times New Roman" w:cs="Times New Roman"/>
          <w:szCs w:val="21"/>
        </w:rPr>
        <w:t>以电子文档方式保存记录的，应采用不便于编辑的电子文档格式，如PDF格式。</w:t>
      </w:r>
      <w:bookmarkEnd w:id="143"/>
    </w:p>
    <w:p w14:paraId="31773A42">
      <w:pPr>
        <w:ind w:firstLine="0" w:firstLineChars="0"/>
        <w:contextualSpacing/>
        <w:rPr>
          <w:rFonts w:hint="eastAsia"/>
          <w:szCs w:val="21"/>
        </w:rPr>
      </w:pPr>
    </w:p>
    <w:p w14:paraId="3FB475F3">
      <w:pPr>
        <w:ind w:firstLine="420"/>
        <w:contextualSpacing/>
        <w:rPr>
          <w:rFonts w:hint="eastAsia"/>
          <w:szCs w:val="21"/>
        </w:rPr>
        <w:sectPr>
          <w:headerReference r:id="rId13" w:type="default"/>
          <w:footerReference r:id="rId14" w:type="default"/>
          <w:pgSz w:w="11911" w:h="16838"/>
          <w:pgMar w:top="1417" w:right="1134" w:bottom="1134" w:left="1134" w:header="567" w:footer="998" w:gutter="0"/>
          <w:pgNumType w:fmt="decimal" w:start="1"/>
          <w:cols w:space="0" w:num="1"/>
          <w:rtlGutter w:val="0"/>
          <w:docGrid w:linePitch="299" w:charSpace="0"/>
        </w:sectPr>
      </w:pPr>
    </w:p>
    <w:p w14:paraId="1E142D02">
      <w:pPr>
        <w:pStyle w:val="2"/>
        <w:bidi w:val="0"/>
        <w:rPr>
          <w:rFonts w:hint="eastAsia"/>
        </w:rPr>
      </w:pPr>
      <w:bookmarkStart w:id="144" w:name="_Toc23283"/>
      <w:bookmarkStart w:id="145" w:name="_Toc200875077"/>
      <w:bookmarkStart w:id="146" w:name="_Toc200873948"/>
      <w:bookmarkStart w:id="147" w:name="_Toc200873932"/>
      <w:r>
        <w:rPr>
          <w:rFonts w:hint="eastAsia"/>
        </w:rPr>
        <w:t>附件</w:t>
      </w:r>
      <w:r>
        <w:rPr>
          <w:rFonts w:hint="eastAsia"/>
          <w:lang w:val="en-US" w:eastAsia="zh-CN"/>
        </w:rPr>
        <w:t>一</w:t>
      </w:r>
      <w:bookmarkEnd w:id="144"/>
      <w:r>
        <w:rPr>
          <w:rFonts w:hint="eastAsia"/>
        </w:rPr>
        <w:t xml:space="preserve"> </w:t>
      </w:r>
    </w:p>
    <w:bookmarkEnd w:id="145"/>
    <w:bookmarkEnd w:id="146"/>
    <w:bookmarkEnd w:id="147"/>
    <w:p w14:paraId="4A57FD61">
      <w:pPr>
        <w:pStyle w:val="2"/>
        <w:bidi w:val="0"/>
        <w:jc w:val="center"/>
        <w:rPr>
          <w:rFonts w:hint="default" w:eastAsia="宋体"/>
          <w:lang w:val="en-US" w:eastAsia="zh-CN"/>
        </w:rPr>
      </w:pPr>
      <w:bookmarkStart w:id="148" w:name="_Toc16095"/>
      <w:r>
        <w:rPr>
          <w:rFonts w:hint="eastAsia"/>
          <w:lang w:val="en-US" w:eastAsia="zh-CN"/>
        </w:rPr>
        <w:t>认证人日数表</w:t>
      </w:r>
      <w:bookmarkEnd w:id="148"/>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9"/>
        <w:gridCol w:w="1838"/>
        <w:gridCol w:w="1557"/>
        <w:gridCol w:w="1132"/>
        <w:gridCol w:w="1132"/>
        <w:gridCol w:w="1279"/>
        <w:gridCol w:w="1340"/>
      </w:tblGrid>
      <w:tr w14:paraId="7BCB4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1099" w:type="dxa"/>
            <w:vMerge w:val="restart"/>
            <w:vAlign w:val="center"/>
          </w:tcPr>
          <w:p w14:paraId="2CA0600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员工人数</w:t>
            </w:r>
          </w:p>
        </w:tc>
        <w:tc>
          <w:tcPr>
            <w:tcW w:w="1838" w:type="dxa"/>
            <w:vMerge w:val="restart"/>
            <w:vAlign w:val="center"/>
          </w:tcPr>
          <w:p w14:paraId="1F900A8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MD5</w:t>
            </w:r>
            <w:r>
              <w:rPr>
                <w:rFonts w:hint="eastAsia"/>
                <w:sz w:val="18"/>
                <w:szCs w:val="18"/>
              </w:rPr>
              <w:t>规定的初审审核时间</w:t>
            </w:r>
          </w:p>
        </w:tc>
        <w:tc>
          <w:tcPr>
            <w:tcW w:w="1557" w:type="dxa"/>
            <w:vMerge w:val="restart"/>
            <w:vAlign w:val="center"/>
          </w:tcPr>
          <w:p w14:paraId="73F1137E">
            <w:pPr>
              <w:keepNext w:val="0"/>
              <w:keepLines w:val="0"/>
              <w:pageBreakBefore w:val="0"/>
              <w:widowControl w:val="0"/>
              <w:kinsoku/>
              <w:wordWrap/>
              <w:overflowPunct/>
              <w:topLinePunct w:val="0"/>
              <w:autoSpaceDE w:val="0"/>
              <w:autoSpaceDN w:val="0"/>
              <w:bidi w:val="0"/>
              <w:adjustRightInd/>
              <w:snapToGrid/>
              <w:spacing w:line="240" w:lineRule="auto"/>
              <w:ind w:firstLine="171" w:firstLineChars="95"/>
              <w:contextualSpacing/>
              <w:jc w:val="center"/>
              <w:textAlignment w:val="auto"/>
              <w:rPr>
                <w:sz w:val="18"/>
                <w:szCs w:val="18"/>
              </w:rPr>
            </w:pPr>
            <w:r>
              <w:rPr>
                <w:rFonts w:hint="eastAsia"/>
                <w:sz w:val="18"/>
                <w:szCs w:val="18"/>
              </w:rPr>
              <w:t>审核类型</w:t>
            </w:r>
          </w:p>
        </w:tc>
        <w:tc>
          <w:tcPr>
            <w:tcW w:w="3543" w:type="dxa"/>
            <w:gridSpan w:val="3"/>
            <w:vAlign w:val="center"/>
          </w:tcPr>
          <w:p w14:paraId="0285ADE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风险程度</w:t>
            </w:r>
          </w:p>
        </w:tc>
        <w:tc>
          <w:tcPr>
            <w:tcW w:w="1340" w:type="dxa"/>
            <w:vMerge w:val="restart"/>
            <w:vAlign w:val="center"/>
          </w:tcPr>
          <w:p w14:paraId="1158699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最低</w:t>
            </w:r>
          </w:p>
          <w:p w14:paraId="6980586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审核时间</w:t>
            </w:r>
          </w:p>
        </w:tc>
      </w:tr>
      <w:tr w14:paraId="5470E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1099" w:type="dxa"/>
            <w:vMerge w:val="continue"/>
            <w:vAlign w:val="center"/>
          </w:tcPr>
          <w:p w14:paraId="40E55D4B">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3A38EE79">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Merge w:val="continue"/>
            <w:vAlign w:val="center"/>
          </w:tcPr>
          <w:p w14:paraId="352164D6">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132" w:type="dxa"/>
            <w:vAlign w:val="center"/>
          </w:tcPr>
          <w:p w14:paraId="5D26272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高风险</w:t>
            </w:r>
          </w:p>
        </w:tc>
        <w:tc>
          <w:tcPr>
            <w:tcW w:w="1132" w:type="dxa"/>
            <w:vAlign w:val="center"/>
          </w:tcPr>
          <w:p w14:paraId="1BB8F2F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中风险</w:t>
            </w:r>
          </w:p>
        </w:tc>
        <w:tc>
          <w:tcPr>
            <w:tcW w:w="1279" w:type="dxa"/>
            <w:vAlign w:val="center"/>
          </w:tcPr>
          <w:p w14:paraId="214DA18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低风险</w:t>
            </w:r>
          </w:p>
        </w:tc>
        <w:tc>
          <w:tcPr>
            <w:tcW w:w="1340" w:type="dxa"/>
            <w:vMerge w:val="continue"/>
            <w:vAlign w:val="center"/>
          </w:tcPr>
          <w:p w14:paraId="3A39BF69">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r>
      <w:tr w14:paraId="6CC51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restart"/>
            <w:vAlign w:val="center"/>
          </w:tcPr>
          <w:p w14:paraId="0A830A7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1-25</w:t>
            </w:r>
          </w:p>
        </w:tc>
        <w:tc>
          <w:tcPr>
            <w:tcW w:w="1838" w:type="dxa"/>
            <w:vMerge w:val="restart"/>
            <w:vAlign w:val="center"/>
          </w:tcPr>
          <w:p w14:paraId="60349B7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c>
          <w:tcPr>
            <w:tcW w:w="1557" w:type="dxa"/>
            <w:vAlign w:val="center"/>
          </w:tcPr>
          <w:p w14:paraId="5D3C2AB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sz w:val="18"/>
                <w:szCs w:val="18"/>
              </w:rPr>
            </w:pPr>
            <w:r>
              <w:rPr>
                <w:rFonts w:hint="eastAsia"/>
                <w:sz w:val="18"/>
                <w:szCs w:val="18"/>
              </w:rPr>
              <w:t>初审</w:t>
            </w:r>
          </w:p>
        </w:tc>
        <w:tc>
          <w:tcPr>
            <w:tcW w:w="1132" w:type="dxa"/>
            <w:vAlign w:val="center"/>
          </w:tcPr>
          <w:p w14:paraId="683ED70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1.5</w:t>
            </w:r>
          </w:p>
        </w:tc>
        <w:tc>
          <w:tcPr>
            <w:tcW w:w="1132" w:type="dxa"/>
            <w:vAlign w:val="center"/>
          </w:tcPr>
          <w:p w14:paraId="4DCC757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c>
          <w:tcPr>
            <w:tcW w:w="1279" w:type="dxa"/>
            <w:vAlign w:val="center"/>
          </w:tcPr>
          <w:p w14:paraId="37C275F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sz w:val="18"/>
                <w:szCs w:val="18"/>
              </w:rPr>
            </w:pPr>
            <w:r>
              <w:rPr>
                <w:rFonts w:hint="eastAsia"/>
                <w:sz w:val="18"/>
                <w:szCs w:val="18"/>
              </w:rPr>
              <w:t>1</w:t>
            </w:r>
          </w:p>
        </w:tc>
        <w:tc>
          <w:tcPr>
            <w:tcW w:w="1340" w:type="dxa"/>
            <w:vAlign w:val="center"/>
          </w:tcPr>
          <w:p w14:paraId="3A33B57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sz w:val="18"/>
                <w:szCs w:val="18"/>
              </w:rPr>
            </w:pPr>
            <w:r>
              <w:rPr>
                <w:rFonts w:hint="eastAsia"/>
                <w:sz w:val="18"/>
                <w:szCs w:val="18"/>
              </w:rPr>
              <w:t>1</w:t>
            </w:r>
          </w:p>
        </w:tc>
      </w:tr>
      <w:tr w14:paraId="0CC77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60E70447">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199C0AD0">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12577A1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监督</w:t>
            </w:r>
          </w:p>
        </w:tc>
        <w:tc>
          <w:tcPr>
            <w:tcW w:w="1132" w:type="dxa"/>
            <w:vAlign w:val="center"/>
          </w:tcPr>
          <w:p w14:paraId="40F2DA5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c>
          <w:tcPr>
            <w:tcW w:w="1132" w:type="dxa"/>
            <w:vAlign w:val="center"/>
          </w:tcPr>
          <w:p w14:paraId="3FAEC7E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c>
          <w:tcPr>
            <w:tcW w:w="1279" w:type="dxa"/>
            <w:vAlign w:val="center"/>
          </w:tcPr>
          <w:p w14:paraId="2F376DF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c>
          <w:tcPr>
            <w:tcW w:w="1340" w:type="dxa"/>
            <w:vAlign w:val="center"/>
          </w:tcPr>
          <w:p w14:paraId="7C81708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r>
      <w:tr w14:paraId="7430C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5ADEF3EE">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3640E740">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72F44A6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再认证</w:t>
            </w:r>
          </w:p>
        </w:tc>
        <w:tc>
          <w:tcPr>
            <w:tcW w:w="1132" w:type="dxa"/>
            <w:vAlign w:val="center"/>
          </w:tcPr>
          <w:p w14:paraId="20D74E8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c>
          <w:tcPr>
            <w:tcW w:w="1132" w:type="dxa"/>
            <w:vAlign w:val="center"/>
          </w:tcPr>
          <w:p w14:paraId="7EED37E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c>
          <w:tcPr>
            <w:tcW w:w="1279" w:type="dxa"/>
            <w:vAlign w:val="center"/>
          </w:tcPr>
          <w:p w14:paraId="6D85CFE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c>
          <w:tcPr>
            <w:tcW w:w="1340" w:type="dxa"/>
            <w:vAlign w:val="center"/>
          </w:tcPr>
          <w:p w14:paraId="4187075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r>
      <w:tr w14:paraId="5049F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restart"/>
            <w:vAlign w:val="center"/>
          </w:tcPr>
          <w:p w14:paraId="0F25F46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16-25</w:t>
            </w:r>
          </w:p>
        </w:tc>
        <w:tc>
          <w:tcPr>
            <w:tcW w:w="1838" w:type="dxa"/>
            <w:vMerge w:val="restart"/>
            <w:vAlign w:val="center"/>
          </w:tcPr>
          <w:p w14:paraId="3E1EFAB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c>
          <w:tcPr>
            <w:tcW w:w="1557" w:type="dxa"/>
            <w:vAlign w:val="center"/>
          </w:tcPr>
          <w:p w14:paraId="45847D9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初审</w:t>
            </w:r>
          </w:p>
        </w:tc>
        <w:tc>
          <w:tcPr>
            <w:tcW w:w="1132" w:type="dxa"/>
            <w:vAlign w:val="center"/>
          </w:tcPr>
          <w:p w14:paraId="06D2FE8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sz w:val="18"/>
                <w:szCs w:val="18"/>
              </w:rPr>
            </w:pPr>
            <w:r>
              <w:rPr>
                <w:rFonts w:hint="eastAsia"/>
                <w:sz w:val="18"/>
                <w:szCs w:val="18"/>
              </w:rPr>
              <w:t>2</w:t>
            </w:r>
          </w:p>
        </w:tc>
        <w:tc>
          <w:tcPr>
            <w:tcW w:w="1132" w:type="dxa"/>
            <w:vAlign w:val="center"/>
          </w:tcPr>
          <w:p w14:paraId="677B070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c>
          <w:tcPr>
            <w:tcW w:w="1279" w:type="dxa"/>
            <w:vAlign w:val="center"/>
          </w:tcPr>
          <w:p w14:paraId="75C9D27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1.5</w:t>
            </w:r>
          </w:p>
        </w:tc>
        <w:tc>
          <w:tcPr>
            <w:tcW w:w="1340" w:type="dxa"/>
            <w:vAlign w:val="center"/>
          </w:tcPr>
          <w:p w14:paraId="5A9CE6A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r>
      <w:tr w14:paraId="444C0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41D2C90B">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4E776FB4">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57053BE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监督</w:t>
            </w:r>
          </w:p>
        </w:tc>
        <w:tc>
          <w:tcPr>
            <w:tcW w:w="1132" w:type="dxa"/>
            <w:vAlign w:val="center"/>
          </w:tcPr>
          <w:p w14:paraId="7ED731B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c>
          <w:tcPr>
            <w:tcW w:w="1132" w:type="dxa"/>
            <w:vAlign w:val="center"/>
          </w:tcPr>
          <w:p w14:paraId="209BAA9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c>
          <w:tcPr>
            <w:tcW w:w="1279" w:type="dxa"/>
            <w:vAlign w:val="center"/>
          </w:tcPr>
          <w:p w14:paraId="0EEC9D8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c>
          <w:tcPr>
            <w:tcW w:w="1340" w:type="dxa"/>
            <w:vAlign w:val="center"/>
          </w:tcPr>
          <w:p w14:paraId="2663234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r>
      <w:tr w14:paraId="23AD0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3410410D">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6E9C6AC2">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01B888E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再认证</w:t>
            </w:r>
          </w:p>
        </w:tc>
        <w:tc>
          <w:tcPr>
            <w:tcW w:w="1132" w:type="dxa"/>
            <w:vAlign w:val="center"/>
          </w:tcPr>
          <w:p w14:paraId="1F695D5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c>
          <w:tcPr>
            <w:tcW w:w="1132" w:type="dxa"/>
            <w:vAlign w:val="center"/>
          </w:tcPr>
          <w:p w14:paraId="282E8E6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c>
          <w:tcPr>
            <w:tcW w:w="1279" w:type="dxa"/>
            <w:vAlign w:val="center"/>
          </w:tcPr>
          <w:p w14:paraId="1D19CDF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c>
          <w:tcPr>
            <w:tcW w:w="1340" w:type="dxa"/>
            <w:vAlign w:val="center"/>
          </w:tcPr>
          <w:p w14:paraId="01FEB68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r>
      <w:tr w14:paraId="5634F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restart"/>
            <w:vAlign w:val="center"/>
          </w:tcPr>
          <w:p w14:paraId="3FA3C90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rFonts w:hint="eastAsia"/>
                <w:sz w:val="18"/>
                <w:szCs w:val="18"/>
              </w:rPr>
              <w:t>26-45</w:t>
            </w:r>
          </w:p>
        </w:tc>
        <w:tc>
          <w:tcPr>
            <w:tcW w:w="1838" w:type="dxa"/>
            <w:vMerge w:val="restart"/>
            <w:vAlign w:val="center"/>
          </w:tcPr>
          <w:p w14:paraId="0964E25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sz w:val="18"/>
                <w:szCs w:val="18"/>
              </w:rPr>
              <w:t>2</w:t>
            </w:r>
            <w:r>
              <w:rPr>
                <w:rFonts w:hint="eastAsia"/>
                <w:sz w:val="18"/>
                <w:szCs w:val="18"/>
              </w:rPr>
              <w:t>.5</w:t>
            </w:r>
          </w:p>
        </w:tc>
        <w:tc>
          <w:tcPr>
            <w:tcW w:w="1557" w:type="dxa"/>
            <w:vAlign w:val="center"/>
          </w:tcPr>
          <w:p w14:paraId="7E4C360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cs="Times New Roman"/>
                <w:sz w:val="18"/>
                <w:szCs w:val="18"/>
              </w:rPr>
            </w:pPr>
            <w:r>
              <w:rPr>
                <w:rFonts w:hint="eastAsia"/>
                <w:sz w:val="18"/>
                <w:szCs w:val="18"/>
              </w:rPr>
              <w:t>初审</w:t>
            </w:r>
          </w:p>
        </w:tc>
        <w:tc>
          <w:tcPr>
            <w:tcW w:w="1132" w:type="dxa"/>
            <w:vAlign w:val="center"/>
          </w:tcPr>
          <w:p w14:paraId="4CC10E7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2.5</w:t>
            </w:r>
          </w:p>
        </w:tc>
        <w:tc>
          <w:tcPr>
            <w:tcW w:w="1132" w:type="dxa"/>
            <w:vAlign w:val="center"/>
          </w:tcPr>
          <w:p w14:paraId="255400E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sz w:val="18"/>
                <w:szCs w:val="18"/>
              </w:rPr>
            </w:pPr>
            <w:r>
              <w:rPr>
                <w:rFonts w:hint="eastAsia"/>
                <w:sz w:val="18"/>
                <w:szCs w:val="18"/>
              </w:rPr>
              <w:t>2</w:t>
            </w:r>
          </w:p>
        </w:tc>
        <w:tc>
          <w:tcPr>
            <w:tcW w:w="1279" w:type="dxa"/>
            <w:vAlign w:val="center"/>
          </w:tcPr>
          <w:p w14:paraId="22B3A7C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1.5</w:t>
            </w:r>
          </w:p>
        </w:tc>
        <w:tc>
          <w:tcPr>
            <w:tcW w:w="1340" w:type="dxa"/>
            <w:vAlign w:val="center"/>
          </w:tcPr>
          <w:p w14:paraId="6138AC4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1.5</w:t>
            </w:r>
          </w:p>
        </w:tc>
      </w:tr>
      <w:tr w14:paraId="63AE6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4838F45D">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4C03659B">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395DD2A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cs="Times New Roman"/>
                <w:sz w:val="18"/>
                <w:szCs w:val="18"/>
              </w:rPr>
            </w:pPr>
            <w:r>
              <w:rPr>
                <w:rFonts w:hint="eastAsia"/>
                <w:sz w:val="18"/>
                <w:szCs w:val="18"/>
              </w:rPr>
              <w:t>监督</w:t>
            </w:r>
          </w:p>
        </w:tc>
        <w:tc>
          <w:tcPr>
            <w:tcW w:w="1132" w:type="dxa"/>
            <w:vAlign w:val="center"/>
          </w:tcPr>
          <w:p w14:paraId="5F667D3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sz w:val="18"/>
                <w:szCs w:val="18"/>
              </w:rPr>
              <w:t>1</w:t>
            </w:r>
          </w:p>
        </w:tc>
        <w:tc>
          <w:tcPr>
            <w:tcW w:w="1132" w:type="dxa"/>
            <w:vAlign w:val="center"/>
          </w:tcPr>
          <w:p w14:paraId="79DDDA0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sz w:val="18"/>
                <w:szCs w:val="18"/>
              </w:rPr>
              <w:t>1</w:t>
            </w:r>
          </w:p>
        </w:tc>
        <w:tc>
          <w:tcPr>
            <w:tcW w:w="1279" w:type="dxa"/>
            <w:vAlign w:val="center"/>
          </w:tcPr>
          <w:p w14:paraId="4F0229D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sz w:val="18"/>
                <w:szCs w:val="18"/>
              </w:rPr>
              <w:t>1</w:t>
            </w:r>
          </w:p>
        </w:tc>
        <w:tc>
          <w:tcPr>
            <w:tcW w:w="1340" w:type="dxa"/>
            <w:vAlign w:val="center"/>
          </w:tcPr>
          <w:p w14:paraId="210BFB2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sz w:val="18"/>
                <w:szCs w:val="18"/>
              </w:rPr>
              <w:t>1</w:t>
            </w:r>
          </w:p>
        </w:tc>
      </w:tr>
      <w:tr w14:paraId="7E312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357F44C2">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6E7DA9AE">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65E364E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cs="Times New Roman"/>
                <w:sz w:val="18"/>
                <w:szCs w:val="18"/>
              </w:rPr>
            </w:pPr>
            <w:r>
              <w:rPr>
                <w:rFonts w:hint="eastAsia"/>
                <w:sz w:val="18"/>
                <w:szCs w:val="18"/>
              </w:rPr>
              <w:t>再认证</w:t>
            </w:r>
          </w:p>
        </w:tc>
        <w:tc>
          <w:tcPr>
            <w:tcW w:w="1132" w:type="dxa"/>
            <w:vAlign w:val="center"/>
          </w:tcPr>
          <w:p w14:paraId="5FA3EDE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sz w:val="18"/>
                <w:szCs w:val="18"/>
              </w:rPr>
            </w:pPr>
            <w:r>
              <w:rPr>
                <w:rFonts w:hint="eastAsia"/>
                <w:sz w:val="18"/>
                <w:szCs w:val="18"/>
              </w:rPr>
              <w:t>2</w:t>
            </w:r>
          </w:p>
        </w:tc>
        <w:tc>
          <w:tcPr>
            <w:tcW w:w="1132" w:type="dxa"/>
            <w:vAlign w:val="center"/>
          </w:tcPr>
          <w:p w14:paraId="2EE9AE6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cs="Times New Roman"/>
                <w:sz w:val="18"/>
                <w:szCs w:val="18"/>
              </w:rPr>
            </w:pPr>
            <w:r>
              <w:rPr>
                <w:rFonts w:hint="eastAsia"/>
                <w:sz w:val="18"/>
                <w:szCs w:val="18"/>
              </w:rPr>
              <w:t>2</w:t>
            </w:r>
          </w:p>
        </w:tc>
        <w:tc>
          <w:tcPr>
            <w:tcW w:w="1279" w:type="dxa"/>
            <w:vAlign w:val="center"/>
          </w:tcPr>
          <w:p w14:paraId="55D45AD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cs="Times New Roman"/>
                <w:sz w:val="18"/>
                <w:szCs w:val="18"/>
              </w:rPr>
            </w:pPr>
            <w:r>
              <w:rPr>
                <w:rFonts w:hint="eastAsia"/>
                <w:sz w:val="18"/>
                <w:szCs w:val="18"/>
              </w:rPr>
              <w:t>2</w:t>
            </w:r>
          </w:p>
        </w:tc>
        <w:tc>
          <w:tcPr>
            <w:tcW w:w="1340" w:type="dxa"/>
            <w:vAlign w:val="center"/>
          </w:tcPr>
          <w:p w14:paraId="4EADD78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sz w:val="18"/>
                <w:szCs w:val="18"/>
              </w:rPr>
            </w:pPr>
            <w:r>
              <w:rPr>
                <w:rFonts w:hint="eastAsia"/>
                <w:sz w:val="18"/>
                <w:szCs w:val="18"/>
              </w:rPr>
              <w:t>2</w:t>
            </w:r>
          </w:p>
        </w:tc>
      </w:tr>
      <w:tr w14:paraId="0D75A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restart"/>
            <w:vAlign w:val="center"/>
          </w:tcPr>
          <w:p w14:paraId="3F45055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46-65</w:t>
            </w:r>
          </w:p>
        </w:tc>
        <w:tc>
          <w:tcPr>
            <w:tcW w:w="1838" w:type="dxa"/>
            <w:vMerge w:val="restart"/>
            <w:vAlign w:val="center"/>
          </w:tcPr>
          <w:p w14:paraId="55EAE46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2.5</w:t>
            </w:r>
          </w:p>
        </w:tc>
        <w:tc>
          <w:tcPr>
            <w:tcW w:w="1557" w:type="dxa"/>
            <w:vAlign w:val="center"/>
          </w:tcPr>
          <w:p w14:paraId="2F48F85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初审</w:t>
            </w:r>
          </w:p>
        </w:tc>
        <w:tc>
          <w:tcPr>
            <w:tcW w:w="1132" w:type="dxa"/>
            <w:vAlign w:val="center"/>
          </w:tcPr>
          <w:p w14:paraId="1D6B1E6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w:t>
            </w:r>
          </w:p>
        </w:tc>
        <w:tc>
          <w:tcPr>
            <w:tcW w:w="1132" w:type="dxa"/>
            <w:vAlign w:val="center"/>
          </w:tcPr>
          <w:p w14:paraId="317A539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2.5</w:t>
            </w:r>
          </w:p>
        </w:tc>
        <w:tc>
          <w:tcPr>
            <w:tcW w:w="1279" w:type="dxa"/>
            <w:vAlign w:val="center"/>
          </w:tcPr>
          <w:p w14:paraId="3CE5E9E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2.5</w:t>
            </w:r>
          </w:p>
        </w:tc>
        <w:tc>
          <w:tcPr>
            <w:tcW w:w="1340" w:type="dxa"/>
            <w:vAlign w:val="center"/>
          </w:tcPr>
          <w:p w14:paraId="5B4BFEA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r>
      <w:tr w14:paraId="7B60D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7610778A">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70C6EEBA">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1AC150A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监督</w:t>
            </w:r>
          </w:p>
        </w:tc>
        <w:tc>
          <w:tcPr>
            <w:tcW w:w="1132" w:type="dxa"/>
            <w:vAlign w:val="center"/>
          </w:tcPr>
          <w:p w14:paraId="0540E77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c>
          <w:tcPr>
            <w:tcW w:w="1132" w:type="dxa"/>
            <w:vAlign w:val="center"/>
          </w:tcPr>
          <w:p w14:paraId="25FCD2A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c>
          <w:tcPr>
            <w:tcW w:w="1279" w:type="dxa"/>
            <w:vAlign w:val="center"/>
          </w:tcPr>
          <w:p w14:paraId="6F29B49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c>
          <w:tcPr>
            <w:tcW w:w="1340" w:type="dxa"/>
            <w:vAlign w:val="center"/>
          </w:tcPr>
          <w:p w14:paraId="2E011A7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r>
      <w:tr w14:paraId="302A3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4D2680FC">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592F222E">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003F285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再认证</w:t>
            </w:r>
          </w:p>
        </w:tc>
        <w:tc>
          <w:tcPr>
            <w:tcW w:w="1132" w:type="dxa"/>
            <w:vAlign w:val="center"/>
          </w:tcPr>
          <w:p w14:paraId="11FC2F9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c>
          <w:tcPr>
            <w:tcW w:w="1132" w:type="dxa"/>
            <w:vAlign w:val="center"/>
          </w:tcPr>
          <w:p w14:paraId="12BB338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c>
          <w:tcPr>
            <w:tcW w:w="1279" w:type="dxa"/>
            <w:vAlign w:val="center"/>
          </w:tcPr>
          <w:p w14:paraId="32B4078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c>
          <w:tcPr>
            <w:tcW w:w="1340" w:type="dxa"/>
            <w:vAlign w:val="center"/>
          </w:tcPr>
          <w:p w14:paraId="3F90C6D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r>
      <w:tr w14:paraId="0004B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restart"/>
            <w:vAlign w:val="center"/>
          </w:tcPr>
          <w:p w14:paraId="5DB4297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66-85</w:t>
            </w:r>
          </w:p>
        </w:tc>
        <w:tc>
          <w:tcPr>
            <w:tcW w:w="1838" w:type="dxa"/>
            <w:vMerge w:val="restart"/>
            <w:vAlign w:val="center"/>
          </w:tcPr>
          <w:p w14:paraId="63A7263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w:t>
            </w:r>
          </w:p>
        </w:tc>
        <w:tc>
          <w:tcPr>
            <w:tcW w:w="1557" w:type="dxa"/>
            <w:vAlign w:val="center"/>
          </w:tcPr>
          <w:p w14:paraId="1E7245C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初审</w:t>
            </w:r>
          </w:p>
        </w:tc>
        <w:tc>
          <w:tcPr>
            <w:tcW w:w="1132" w:type="dxa"/>
            <w:vAlign w:val="center"/>
          </w:tcPr>
          <w:p w14:paraId="20ECB54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3.5</w:t>
            </w:r>
          </w:p>
        </w:tc>
        <w:tc>
          <w:tcPr>
            <w:tcW w:w="1132" w:type="dxa"/>
            <w:vAlign w:val="center"/>
          </w:tcPr>
          <w:p w14:paraId="33F3E6B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w:t>
            </w:r>
          </w:p>
        </w:tc>
        <w:tc>
          <w:tcPr>
            <w:tcW w:w="1279" w:type="dxa"/>
            <w:vAlign w:val="center"/>
          </w:tcPr>
          <w:p w14:paraId="2EE61C7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2.5</w:t>
            </w:r>
          </w:p>
        </w:tc>
        <w:tc>
          <w:tcPr>
            <w:tcW w:w="1340" w:type="dxa"/>
            <w:vAlign w:val="center"/>
          </w:tcPr>
          <w:p w14:paraId="4CDE1CD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2.5</w:t>
            </w:r>
          </w:p>
        </w:tc>
      </w:tr>
      <w:tr w14:paraId="6F395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509C9F9D">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23A42022">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6A716E5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监督</w:t>
            </w:r>
          </w:p>
        </w:tc>
        <w:tc>
          <w:tcPr>
            <w:tcW w:w="1132" w:type="dxa"/>
            <w:vAlign w:val="center"/>
          </w:tcPr>
          <w:p w14:paraId="1CA4314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c>
          <w:tcPr>
            <w:tcW w:w="1132" w:type="dxa"/>
            <w:vAlign w:val="center"/>
          </w:tcPr>
          <w:p w14:paraId="6203CA9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c>
          <w:tcPr>
            <w:tcW w:w="1279" w:type="dxa"/>
            <w:vAlign w:val="center"/>
          </w:tcPr>
          <w:p w14:paraId="46809DA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c>
          <w:tcPr>
            <w:tcW w:w="1340" w:type="dxa"/>
            <w:vAlign w:val="center"/>
          </w:tcPr>
          <w:p w14:paraId="4F2C3D5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r>
      <w:tr w14:paraId="46668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06685534">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6B996941">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7767D9B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再认证</w:t>
            </w:r>
          </w:p>
        </w:tc>
        <w:tc>
          <w:tcPr>
            <w:tcW w:w="1132" w:type="dxa"/>
            <w:vAlign w:val="center"/>
          </w:tcPr>
          <w:p w14:paraId="66196D6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2.5</w:t>
            </w:r>
          </w:p>
        </w:tc>
        <w:tc>
          <w:tcPr>
            <w:tcW w:w="1132" w:type="dxa"/>
            <w:vAlign w:val="center"/>
          </w:tcPr>
          <w:p w14:paraId="7886A30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c>
          <w:tcPr>
            <w:tcW w:w="1279" w:type="dxa"/>
            <w:vAlign w:val="center"/>
          </w:tcPr>
          <w:p w14:paraId="6028BCC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c>
          <w:tcPr>
            <w:tcW w:w="1340" w:type="dxa"/>
            <w:vAlign w:val="center"/>
          </w:tcPr>
          <w:p w14:paraId="15DFD12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r>
      <w:tr w14:paraId="1EEFE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restart"/>
            <w:vAlign w:val="center"/>
          </w:tcPr>
          <w:p w14:paraId="60B3EF7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cs="Times New Roman"/>
                <w:sz w:val="18"/>
                <w:szCs w:val="18"/>
              </w:rPr>
            </w:pPr>
            <w:r>
              <w:rPr>
                <w:sz w:val="18"/>
                <w:szCs w:val="18"/>
              </w:rPr>
              <w:t>86-125</w:t>
            </w:r>
          </w:p>
        </w:tc>
        <w:tc>
          <w:tcPr>
            <w:tcW w:w="1838" w:type="dxa"/>
            <w:vMerge w:val="restart"/>
            <w:vAlign w:val="center"/>
          </w:tcPr>
          <w:p w14:paraId="71F6ED1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4</w:t>
            </w:r>
          </w:p>
        </w:tc>
        <w:tc>
          <w:tcPr>
            <w:tcW w:w="1557" w:type="dxa"/>
            <w:vAlign w:val="center"/>
          </w:tcPr>
          <w:p w14:paraId="28F1858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cs="Times New Roman"/>
                <w:sz w:val="18"/>
                <w:szCs w:val="18"/>
              </w:rPr>
            </w:pPr>
            <w:r>
              <w:rPr>
                <w:rFonts w:hint="eastAsia"/>
                <w:sz w:val="18"/>
                <w:szCs w:val="18"/>
              </w:rPr>
              <w:t>初审</w:t>
            </w:r>
          </w:p>
        </w:tc>
        <w:tc>
          <w:tcPr>
            <w:tcW w:w="1132" w:type="dxa"/>
            <w:vAlign w:val="center"/>
          </w:tcPr>
          <w:p w14:paraId="549CA30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sz w:val="18"/>
                <w:szCs w:val="18"/>
              </w:rPr>
            </w:pPr>
            <w:r>
              <w:rPr>
                <w:rFonts w:hint="eastAsia"/>
                <w:sz w:val="18"/>
                <w:szCs w:val="18"/>
              </w:rPr>
              <w:t>4</w:t>
            </w:r>
          </w:p>
        </w:tc>
        <w:tc>
          <w:tcPr>
            <w:tcW w:w="1132" w:type="dxa"/>
            <w:vAlign w:val="center"/>
          </w:tcPr>
          <w:p w14:paraId="1826F73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3.5</w:t>
            </w:r>
          </w:p>
        </w:tc>
        <w:tc>
          <w:tcPr>
            <w:tcW w:w="1279" w:type="dxa"/>
            <w:vAlign w:val="center"/>
          </w:tcPr>
          <w:p w14:paraId="29E7EC1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sz w:val="18"/>
                <w:szCs w:val="18"/>
              </w:rPr>
            </w:pPr>
            <w:r>
              <w:rPr>
                <w:rFonts w:hint="eastAsia"/>
                <w:sz w:val="18"/>
                <w:szCs w:val="18"/>
              </w:rPr>
              <w:t>3</w:t>
            </w:r>
          </w:p>
        </w:tc>
        <w:tc>
          <w:tcPr>
            <w:tcW w:w="1340" w:type="dxa"/>
            <w:vAlign w:val="center"/>
          </w:tcPr>
          <w:p w14:paraId="41596E7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w:t>
            </w:r>
          </w:p>
        </w:tc>
      </w:tr>
      <w:tr w14:paraId="107A8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748982E2">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5A6F195A">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732C784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rFonts w:hint="eastAsia"/>
                <w:sz w:val="18"/>
                <w:szCs w:val="18"/>
              </w:rPr>
              <w:t>监督</w:t>
            </w:r>
          </w:p>
        </w:tc>
        <w:tc>
          <w:tcPr>
            <w:tcW w:w="1132" w:type="dxa"/>
            <w:vAlign w:val="center"/>
          </w:tcPr>
          <w:p w14:paraId="0C0EE27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c>
          <w:tcPr>
            <w:tcW w:w="1132" w:type="dxa"/>
            <w:vAlign w:val="center"/>
          </w:tcPr>
          <w:p w14:paraId="321271D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c>
          <w:tcPr>
            <w:tcW w:w="1279" w:type="dxa"/>
            <w:vAlign w:val="center"/>
          </w:tcPr>
          <w:p w14:paraId="08A69FC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c>
          <w:tcPr>
            <w:tcW w:w="1340" w:type="dxa"/>
            <w:vAlign w:val="center"/>
          </w:tcPr>
          <w:p w14:paraId="7B4B3D4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w:t>
            </w:r>
          </w:p>
        </w:tc>
      </w:tr>
      <w:tr w14:paraId="2FA05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487D72E2">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0FAD1B93">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7F07973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rFonts w:hint="eastAsia"/>
                <w:sz w:val="18"/>
                <w:szCs w:val="18"/>
              </w:rPr>
              <w:t>再认证</w:t>
            </w:r>
          </w:p>
        </w:tc>
        <w:tc>
          <w:tcPr>
            <w:tcW w:w="1132" w:type="dxa"/>
            <w:vAlign w:val="center"/>
          </w:tcPr>
          <w:p w14:paraId="6140F76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w:t>
            </w:r>
          </w:p>
        </w:tc>
        <w:tc>
          <w:tcPr>
            <w:tcW w:w="1132" w:type="dxa"/>
            <w:vAlign w:val="center"/>
          </w:tcPr>
          <w:p w14:paraId="145F8C1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w:t>
            </w:r>
          </w:p>
        </w:tc>
        <w:tc>
          <w:tcPr>
            <w:tcW w:w="1279" w:type="dxa"/>
            <w:vAlign w:val="center"/>
          </w:tcPr>
          <w:p w14:paraId="308D791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2.5</w:t>
            </w:r>
          </w:p>
        </w:tc>
        <w:tc>
          <w:tcPr>
            <w:tcW w:w="1340" w:type="dxa"/>
            <w:vAlign w:val="center"/>
          </w:tcPr>
          <w:p w14:paraId="3E6B261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r>
      <w:tr w14:paraId="4A97A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restart"/>
            <w:vAlign w:val="center"/>
          </w:tcPr>
          <w:p w14:paraId="4381282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cs="Times New Roman"/>
                <w:sz w:val="18"/>
                <w:szCs w:val="18"/>
              </w:rPr>
            </w:pPr>
            <w:r>
              <w:rPr>
                <w:sz w:val="18"/>
                <w:szCs w:val="18"/>
              </w:rPr>
              <w:t>126-175</w:t>
            </w:r>
          </w:p>
        </w:tc>
        <w:tc>
          <w:tcPr>
            <w:tcW w:w="1838" w:type="dxa"/>
            <w:vMerge w:val="restart"/>
            <w:vAlign w:val="center"/>
          </w:tcPr>
          <w:p w14:paraId="4CEF1AF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5</w:t>
            </w:r>
          </w:p>
        </w:tc>
        <w:tc>
          <w:tcPr>
            <w:tcW w:w="1557" w:type="dxa"/>
            <w:vAlign w:val="center"/>
          </w:tcPr>
          <w:p w14:paraId="0BE96C2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rFonts w:hint="eastAsia"/>
                <w:sz w:val="18"/>
                <w:szCs w:val="18"/>
              </w:rPr>
              <w:t>初审</w:t>
            </w:r>
          </w:p>
        </w:tc>
        <w:tc>
          <w:tcPr>
            <w:tcW w:w="1132" w:type="dxa"/>
            <w:vAlign w:val="center"/>
          </w:tcPr>
          <w:p w14:paraId="14E74E3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sz w:val="18"/>
                <w:szCs w:val="18"/>
              </w:rPr>
            </w:pPr>
            <w:r>
              <w:rPr>
                <w:rFonts w:hint="eastAsia"/>
                <w:sz w:val="18"/>
                <w:szCs w:val="18"/>
              </w:rPr>
              <w:t>6</w:t>
            </w:r>
          </w:p>
        </w:tc>
        <w:tc>
          <w:tcPr>
            <w:tcW w:w="1132" w:type="dxa"/>
            <w:vAlign w:val="center"/>
          </w:tcPr>
          <w:p w14:paraId="08B06E5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4.5</w:t>
            </w:r>
          </w:p>
        </w:tc>
        <w:tc>
          <w:tcPr>
            <w:tcW w:w="1279" w:type="dxa"/>
            <w:vAlign w:val="center"/>
          </w:tcPr>
          <w:p w14:paraId="7386020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sz w:val="18"/>
                <w:szCs w:val="18"/>
              </w:rPr>
            </w:pPr>
            <w:r>
              <w:rPr>
                <w:rFonts w:hint="eastAsia"/>
                <w:sz w:val="18"/>
                <w:szCs w:val="18"/>
              </w:rPr>
              <w:t>4</w:t>
            </w:r>
          </w:p>
        </w:tc>
        <w:tc>
          <w:tcPr>
            <w:tcW w:w="1340" w:type="dxa"/>
            <w:vAlign w:val="center"/>
          </w:tcPr>
          <w:p w14:paraId="7709B5F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3.5</w:t>
            </w:r>
          </w:p>
        </w:tc>
      </w:tr>
      <w:tr w14:paraId="3607A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363358CD">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6AE28CA2">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103A0CB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rFonts w:hint="eastAsia"/>
                <w:sz w:val="18"/>
                <w:szCs w:val="18"/>
              </w:rPr>
              <w:t>监督</w:t>
            </w:r>
          </w:p>
        </w:tc>
        <w:tc>
          <w:tcPr>
            <w:tcW w:w="1132" w:type="dxa"/>
            <w:vAlign w:val="center"/>
          </w:tcPr>
          <w:p w14:paraId="1E07086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c>
          <w:tcPr>
            <w:tcW w:w="1132" w:type="dxa"/>
            <w:vAlign w:val="center"/>
          </w:tcPr>
          <w:p w14:paraId="0ED9055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c>
          <w:tcPr>
            <w:tcW w:w="1279" w:type="dxa"/>
            <w:vAlign w:val="center"/>
          </w:tcPr>
          <w:p w14:paraId="36ADE85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c>
          <w:tcPr>
            <w:tcW w:w="1340" w:type="dxa"/>
            <w:vAlign w:val="center"/>
          </w:tcPr>
          <w:p w14:paraId="48B72B5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r>
      <w:tr w14:paraId="183B6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5E80697D">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7F5BD49F">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00F8CD6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rFonts w:hint="eastAsia"/>
                <w:sz w:val="18"/>
                <w:szCs w:val="18"/>
              </w:rPr>
              <w:t>再认证</w:t>
            </w:r>
          </w:p>
        </w:tc>
        <w:tc>
          <w:tcPr>
            <w:tcW w:w="1132" w:type="dxa"/>
            <w:vAlign w:val="center"/>
          </w:tcPr>
          <w:p w14:paraId="63ECA2C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4</w:t>
            </w:r>
          </w:p>
        </w:tc>
        <w:tc>
          <w:tcPr>
            <w:tcW w:w="1132" w:type="dxa"/>
            <w:vAlign w:val="center"/>
          </w:tcPr>
          <w:p w14:paraId="082DE5F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3.5</w:t>
            </w:r>
          </w:p>
        </w:tc>
        <w:tc>
          <w:tcPr>
            <w:tcW w:w="1279" w:type="dxa"/>
            <w:vAlign w:val="center"/>
          </w:tcPr>
          <w:p w14:paraId="63DC1E1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w:t>
            </w:r>
          </w:p>
        </w:tc>
        <w:tc>
          <w:tcPr>
            <w:tcW w:w="1340" w:type="dxa"/>
            <w:vAlign w:val="center"/>
          </w:tcPr>
          <w:p w14:paraId="0E7ACDF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2.5</w:t>
            </w:r>
          </w:p>
        </w:tc>
      </w:tr>
      <w:tr w14:paraId="67212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restart"/>
            <w:vAlign w:val="center"/>
          </w:tcPr>
          <w:p w14:paraId="5827174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cs="Times New Roman"/>
                <w:sz w:val="18"/>
                <w:szCs w:val="18"/>
              </w:rPr>
            </w:pPr>
            <w:r>
              <w:rPr>
                <w:sz w:val="18"/>
                <w:szCs w:val="18"/>
              </w:rPr>
              <w:t>176-275</w:t>
            </w:r>
          </w:p>
        </w:tc>
        <w:tc>
          <w:tcPr>
            <w:tcW w:w="1838" w:type="dxa"/>
            <w:vMerge w:val="restart"/>
            <w:vAlign w:val="center"/>
          </w:tcPr>
          <w:p w14:paraId="6EB4C3C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6</w:t>
            </w:r>
          </w:p>
        </w:tc>
        <w:tc>
          <w:tcPr>
            <w:tcW w:w="1557" w:type="dxa"/>
            <w:vAlign w:val="center"/>
          </w:tcPr>
          <w:p w14:paraId="27C8747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rFonts w:hint="eastAsia"/>
                <w:sz w:val="18"/>
                <w:szCs w:val="18"/>
              </w:rPr>
              <w:t>初审</w:t>
            </w:r>
          </w:p>
        </w:tc>
        <w:tc>
          <w:tcPr>
            <w:tcW w:w="1132" w:type="dxa"/>
            <w:vAlign w:val="center"/>
          </w:tcPr>
          <w:p w14:paraId="5029407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5.5</w:t>
            </w:r>
          </w:p>
        </w:tc>
        <w:tc>
          <w:tcPr>
            <w:tcW w:w="1132" w:type="dxa"/>
            <w:vAlign w:val="center"/>
          </w:tcPr>
          <w:p w14:paraId="599AEE6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sz w:val="18"/>
                <w:szCs w:val="18"/>
              </w:rPr>
            </w:pPr>
            <w:r>
              <w:rPr>
                <w:rFonts w:hint="eastAsia"/>
                <w:sz w:val="18"/>
                <w:szCs w:val="18"/>
              </w:rPr>
              <w:t>5</w:t>
            </w:r>
          </w:p>
        </w:tc>
        <w:tc>
          <w:tcPr>
            <w:tcW w:w="1279" w:type="dxa"/>
            <w:vAlign w:val="center"/>
          </w:tcPr>
          <w:p w14:paraId="27B8786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4.5</w:t>
            </w:r>
          </w:p>
        </w:tc>
        <w:tc>
          <w:tcPr>
            <w:tcW w:w="1340" w:type="dxa"/>
            <w:vAlign w:val="center"/>
          </w:tcPr>
          <w:p w14:paraId="6AEED2F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4.5</w:t>
            </w:r>
          </w:p>
        </w:tc>
      </w:tr>
      <w:tr w14:paraId="48DB4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7D9A2825">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1E030662">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7518A9A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rFonts w:hint="eastAsia"/>
                <w:sz w:val="18"/>
                <w:szCs w:val="18"/>
              </w:rPr>
              <w:t>监督</w:t>
            </w:r>
          </w:p>
        </w:tc>
        <w:tc>
          <w:tcPr>
            <w:tcW w:w="1132" w:type="dxa"/>
            <w:vAlign w:val="center"/>
          </w:tcPr>
          <w:p w14:paraId="4E31538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2.5</w:t>
            </w:r>
          </w:p>
        </w:tc>
        <w:tc>
          <w:tcPr>
            <w:tcW w:w="1132" w:type="dxa"/>
            <w:vAlign w:val="center"/>
          </w:tcPr>
          <w:p w14:paraId="555DE5D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c>
          <w:tcPr>
            <w:tcW w:w="1279" w:type="dxa"/>
            <w:vAlign w:val="center"/>
          </w:tcPr>
          <w:p w14:paraId="0E48333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c>
          <w:tcPr>
            <w:tcW w:w="1340" w:type="dxa"/>
            <w:vAlign w:val="center"/>
          </w:tcPr>
          <w:p w14:paraId="02E290D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1.5</w:t>
            </w:r>
          </w:p>
        </w:tc>
      </w:tr>
      <w:tr w14:paraId="483BE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2055549A">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049B6BA5">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597D484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rFonts w:hint="eastAsia"/>
                <w:sz w:val="18"/>
                <w:szCs w:val="18"/>
              </w:rPr>
              <w:t>再认证</w:t>
            </w:r>
          </w:p>
        </w:tc>
        <w:tc>
          <w:tcPr>
            <w:tcW w:w="1132" w:type="dxa"/>
            <w:vAlign w:val="center"/>
          </w:tcPr>
          <w:p w14:paraId="364B5DA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rFonts w:hint="eastAsia"/>
                <w:sz w:val="18"/>
                <w:szCs w:val="18"/>
              </w:rPr>
              <w:t>4.5</w:t>
            </w:r>
          </w:p>
        </w:tc>
        <w:tc>
          <w:tcPr>
            <w:tcW w:w="1132" w:type="dxa"/>
            <w:vAlign w:val="center"/>
          </w:tcPr>
          <w:p w14:paraId="0454CBE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4</w:t>
            </w:r>
          </w:p>
        </w:tc>
        <w:tc>
          <w:tcPr>
            <w:tcW w:w="1279" w:type="dxa"/>
            <w:vAlign w:val="center"/>
          </w:tcPr>
          <w:p w14:paraId="441F168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4</w:t>
            </w:r>
          </w:p>
        </w:tc>
        <w:tc>
          <w:tcPr>
            <w:tcW w:w="1340" w:type="dxa"/>
            <w:vAlign w:val="center"/>
          </w:tcPr>
          <w:p w14:paraId="77B079C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w:t>
            </w:r>
          </w:p>
        </w:tc>
      </w:tr>
      <w:tr w14:paraId="07176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restart"/>
            <w:vAlign w:val="center"/>
          </w:tcPr>
          <w:p w14:paraId="13F1304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cs="Times New Roman"/>
                <w:sz w:val="18"/>
                <w:szCs w:val="18"/>
              </w:rPr>
            </w:pPr>
            <w:r>
              <w:rPr>
                <w:sz w:val="18"/>
                <w:szCs w:val="18"/>
              </w:rPr>
              <w:t>276-425</w:t>
            </w:r>
          </w:p>
        </w:tc>
        <w:tc>
          <w:tcPr>
            <w:tcW w:w="1838" w:type="dxa"/>
            <w:vMerge w:val="restart"/>
            <w:vAlign w:val="center"/>
          </w:tcPr>
          <w:p w14:paraId="26D626B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7</w:t>
            </w:r>
          </w:p>
        </w:tc>
        <w:tc>
          <w:tcPr>
            <w:tcW w:w="1557" w:type="dxa"/>
            <w:vAlign w:val="center"/>
          </w:tcPr>
          <w:p w14:paraId="00988EF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rFonts w:hint="eastAsia"/>
                <w:sz w:val="18"/>
                <w:szCs w:val="18"/>
              </w:rPr>
              <w:t>初审</w:t>
            </w:r>
          </w:p>
        </w:tc>
        <w:tc>
          <w:tcPr>
            <w:tcW w:w="1132" w:type="dxa"/>
            <w:vAlign w:val="center"/>
          </w:tcPr>
          <w:p w14:paraId="77B1EBC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8.5</w:t>
            </w:r>
          </w:p>
        </w:tc>
        <w:tc>
          <w:tcPr>
            <w:tcW w:w="1132" w:type="dxa"/>
            <w:vAlign w:val="center"/>
          </w:tcPr>
          <w:p w14:paraId="7FAE2A4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7</w:t>
            </w:r>
          </w:p>
        </w:tc>
        <w:tc>
          <w:tcPr>
            <w:tcW w:w="1279" w:type="dxa"/>
            <w:vAlign w:val="center"/>
          </w:tcPr>
          <w:p w14:paraId="579898A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6.5</w:t>
            </w:r>
          </w:p>
        </w:tc>
        <w:tc>
          <w:tcPr>
            <w:tcW w:w="1340" w:type="dxa"/>
            <w:vAlign w:val="center"/>
          </w:tcPr>
          <w:p w14:paraId="1425BED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5</w:t>
            </w:r>
          </w:p>
        </w:tc>
      </w:tr>
      <w:tr w14:paraId="688E0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27A90A38">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1AF9C849">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7B8545F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rFonts w:hint="eastAsia"/>
                <w:sz w:val="18"/>
                <w:szCs w:val="18"/>
              </w:rPr>
              <w:t>监督</w:t>
            </w:r>
          </w:p>
        </w:tc>
        <w:tc>
          <w:tcPr>
            <w:tcW w:w="1132" w:type="dxa"/>
            <w:vAlign w:val="center"/>
          </w:tcPr>
          <w:p w14:paraId="42DB51A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w:t>
            </w:r>
          </w:p>
        </w:tc>
        <w:tc>
          <w:tcPr>
            <w:tcW w:w="1132" w:type="dxa"/>
            <w:vAlign w:val="center"/>
          </w:tcPr>
          <w:p w14:paraId="72D863F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2.5</w:t>
            </w:r>
          </w:p>
        </w:tc>
        <w:tc>
          <w:tcPr>
            <w:tcW w:w="1279" w:type="dxa"/>
            <w:vAlign w:val="center"/>
          </w:tcPr>
          <w:p w14:paraId="72809F19">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contextualSpacing/>
              <w:jc w:val="center"/>
              <w:textAlignment w:val="auto"/>
              <w:rPr>
                <w:sz w:val="18"/>
                <w:szCs w:val="18"/>
              </w:rPr>
            </w:pPr>
            <w:r>
              <w:rPr>
                <w:sz w:val="18"/>
                <w:szCs w:val="18"/>
              </w:rPr>
              <w:t>2.5</w:t>
            </w:r>
          </w:p>
        </w:tc>
        <w:tc>
          <w:tcPr>
            <w:tcW w:w="1340" w:type="dxa"/>
            <w:vAlign w:val="center"/>
          </w:tcPr>
          <w:p w14:paraId="4B64794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contextualSpacing/>
              <w:jc w:val="center"/>
              <w:textAlignment w:val="auto"/>
              <w:rPr>
                <w:sz w:val="18"/>
                <w:szCs w:val="18"/>
              </w:rPr>
            </w:pPr>
            <w:r>
              <w:rPr>
                <w:sz w:val="18"/>
                <w:szCs w:val="18"/>
              </w:rPr>
              <w:t>2</w:t>
            </w:r>
          </w:p>
        </w:tc>
      </w:tr>
      <w:tr w14:paraId="05C55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2C66FA2F">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0598A097">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4B55673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rFonts w:hint="eastAsia"/>
                <w:sz w:val="18"/>
                <w:szCs w:val="18"/>
              </w:rPr>
              <w:t>再认证</w:t>
            </w:r>
          </w:p>
        </w:tc>
        <w:tc>
          <w:tcPr>
            <w:tcW w:w="1132" w:type="dxa"/>
            <w:vAlign w:val="center"/>
          </w:tcPr>
          <w:p w14:paraId="2665A92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6</w:t>
            </w:r>
          </w:p>
        </w:tc>
        <w:tc>
          <w:tcPr>
            <w:tcW w:w="1132" w:type="dxa"/>
            <w:vAlign w:val="center"/>
          </w:tcPr>
          <w:p w14:paraId="251841B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5</w:t>
            </w:r>
          </w:p>
        </w:tc>
        <w:tc>
          <w:tcPr>
            <w:tcW w:w="1279" w:type="dxa"/>
            <w:vAlign w:val="center"/>
          </w:tcPr>
          <w:p w14:paraId="2E9F15C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4.5</w:t>
            </w:r>
          </w:p>
        </w:tc>
        <w:tc>
          <w:tcPr>
            <w:tcW w:w="1340" w:type="dxa"/>
            <w:vAlign w:val="center"/>
          </w:tcPr>
          <w:p w14:paraId="2813418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3.5</w:t>
            </w:r>
          </w:p>
        </w:tc>
      </w:tr>
      <w:tr w14:paraId="039EA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restart"/>
            <w:vAlign w:val="center"/>
          </w:tcPr>
          <w:p w14:paraId="7EAA198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sz w:val="18"/>
                <w:szCs w:val="18"/>
              </w:rPr>
              <w:t>426-625</w:t>
            </w:r>
          </w:p>
        </w:tc>
        <w:tc>
          <w:tcPr>
            <w:tcW w:w="1838" w:type="dxa"/>
            <w:vMerge w:val="restart"/>
            <w:vAlign w:val="center"/>
          </w:tcPr>
          <w:p w14:paraId="5EA1BDD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8</w:t>
            </w:r>
          </w:p>
        </w:tc>
        <w:tc>
          <w:tcPr>
            <w:tcW w:w="1557" w:type="dxa"/>
            <w:vAlign w:val="center"/>
          </w:tcPr>
          <w:p w14:paraId="7DFC8F5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eastAsia" w:cs="Times New Roman"/>
                <w:sz w:val="18"/>
                <w:szCs w:val="18"/>
              </w:rPr>
            </w:pPr>
            <w:r>
              <w:rPr>
                <w:rFonts w:hint="eastAsia"/>
                <w:sz w:val="18"/>
                <w:szCs w:val="18"/>
              </w:rPr>
              <w:t>初审</w:t>
            </w:r>
          </w:p>
        </w:tc>
        <w:tc>
          <w:tcPr>
            <w:tcW w:w="1132" w:type="dxa"/>
            <w:vAlign w:val="center"/>
          </w:tcPr>
          <w:p w14:paraId="5D13B2D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9.5</w:t>
            </w:r>
          </w:p>
        </w:tc>
        <w:tc>
          <w:tcPr>
            <w:tcW w:w="1132" w:type="dxa"/>
            <w:vAlign w:val="center"/>
          </w:tcPr>
          <w:p w14:paraId="57C1428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8</w:t>
            </w:r>
          </w:p>
        </w:tc>
        <w:tc>
          <w:tcPr>
            <w:tcW w:w="1279" w:type="dxa"/>
            <w:vAlign w:val="center"/>
          </w:tcPr>
          <w:p w14:paraId="2C219C5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7.5</w:t>
            </w:r>
          </w:p>
        </w:tc>
        <w:tc>
          <w:tcPr>
            <w:tcW w:w="1340" w:type="dxa"/>
            <w:vAlign w:val="center"/>
          </w:tcPr>
          <w:p w14:paraId="2076AB8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6</w:t>
            </w:r>
          </w:p>
        </w:tc>
      </w:tr>
      <w:tr w14:paraId="1E09D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99" w:type="dxa"/>
            <w:vMerge w:val="continue"/>
            <w:vAlign w:val="center"/>
          </w:tcPr>
          <w:p w14:paraId="77F30FFB">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42B91003">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50A8186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cs="Times New Roman"/>
                <w:sz w:val="18"/>
                <w:szCs w:val="18"/>
              </w:rPr>
            </w:pPr>
            <w:r>
              <w:rPr>
                <w:rFonts w:hint="eastAsia"/>
                <w:sz w:val="18"/>
                <w:szCs w:val="18"/>
              </w:rPr>
              <w:t>监督</w:t>
            </w:r>
          </w:p>
        </w:tc>
        <w:tc>
          <w:tcPr>
            <w:tcW w:w="1132" w:type="dxa"/>
            <w:vAlign w:val="center"/>
          </w:tcPr>
          <w:p w14:paraId="5BBE2FE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3.5</w:t>
            </w:r>
          </w:p>
        </w:tc>
        <w:tc>
          <w:tcPr>
            <w:tcW w:w="1132" w:type="dxa"/>
            <w:vAlign w:val="center"/>
          </w:tcPr>
          <w:p w14:paraId="2A40284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3</w:t>
            </w:r>
          </w:p>
        </w:tc>
        <w:tc>
          <w:tcPr>
            <w:tcW w:w="1279" w:type="dxa"/>
            <w:vAlign w:val="center"/>
          </w:tcPr>
          <w:p w14:paraId="7A56F01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2.5</w:t>
            </w:r>
          </w:p>
        </w:tc>
        <w:tc>
          <w:tcPr>
            <w:tcW w:w="1340" w:type="dxa"/>
            <w:vAlign w:val="center"/>
          </w:tcPr>
          <w:p w14:paraId="744534D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sz w:val="18"/>
                <w:szCs w:val="18"/>
              </w:rPr>
            </w:pPr>
            <w:r>
              <w:rPr>
                <w:sz w:val="18"/>
                <w:szCs w:val="18"/>
              </w:rPr>
              <w:t>2</w:t>
            </w:r>
          </w:p>
        </w:tc>
      </w:tr>
      <w:tr w14:paraId="5C8EC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1099" w:type="dxa"/>
            <w:vMerge w:val="continue"/>
            <w:vAlign w:val="center"/>
          </w:tcPr>
          <w:p w14:paraId="7A8B122A">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838" w:type="dxa"/>
            <w:vMerge w:val="continue"/>
            <w:vAlign w:val="center"/>
          </w:tcPr>
          <w:p w14:paraId="4444C14E">
            <w:pPr>
              <w:keepNext w:val="0"/>
              <w:keepLines w:val="0"/>
              <w:pageBreakBefore w:val="0"/>
              <w:widowControl w:val="0"/>
              <w:kinsoku/>
              <w:wordWrap/>
              <w:overflowPunct/>
              <w:topLinePunct w:val="0"/>
              <w:autoSpaceDE w:val="0"/>
              <w:autoSpaceDN w:val="0"/>
              <w:bidi w:val="0"/>
              <w:adjustRightInd/>
              <w:snapToGrid/>
              <w:spacing w:line="240" w:lineRule="auto"/>
              <w:ind w:firstLine="360"/>
              <w:contextualSpacing/>
              <w:jc w:val="center"/>
              <w:textAlignment w:val="auto"/>
              <w:rPr>
                <w:sz w:val="18"/>
                <w:szCs w:val="18"/>
              </w:rPr>
            </w:pPr>
          </w:p>
        </w:tc>
        <w:tc>
          <w:tcPr>
            <w:tcW w:w="1557" w:type="dxa"/>
            <w:vAlign w:val="center"/>
          </w:tcPr>
          <w:p w14:paraId="1CB8A47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contextualSpacing/>
              <w:jc w:val="center"/>
              <w:textAlignment w:val="auto"/>
              <w:rPr>
                <w:rFonts w:cs="Times New Roman"/>
                <w:sz w:val="18"/>
                <w:szCs w:val="18"/>
              </w:rPr>
            </w:pPr>
            <w:r>
              <w:rPr>
                <w:rFonts w:hint="eastAsia"/>
                <w:sz w:val="18"/>
                <w:szCs w:val="18"/>
              </w:rPr>
              <w:t>再认证</w:t>
            </w:r>
          </w:p>
        </w:tc>
        <w:tc>
          <w:tcPr>
            <w:tcW w:w="1132" w:type="dxa"/>
            <w:vAlign w:val="center"/>
          </w:tcPr>
          <w:p w14:paraId="728ABFAC">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contextualSpacing/>
              <w:jc w:val="center"/>
              <w:textAlignment w:val="auto"/>
              <w:rPr>
                <w:sz w:val="18"/>
                <w:szCs w:val="18"/>
              </w:rPr>
            </w:pPr>
            <w:r>
              <w:rPr>
                <w:sz w:val="18"/>
                <w:szCs w:val="18"/>
              </w:rPr>
              <w:t>6.5</w:t>
            </w:r>
          </w:p>
        </w:tc>
        <w:tc>
          <w:tcPr>
            <w:tcW w:w="1132" w:type="dxa"/>
            <w:vAlign w:val="center"/>
          </w:tcPr>
          <w:p w14:paraId="4FE82424">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contextualSpacing/>
              <w:jc w:val="center"/>
              <w:textAlignment w:val="auto"/>
              <w:rPr>
                <w:sz w:val="18"/>
                <w:szCs w:val="18"/>
              </w:rPr>
            </w:pPr>
            <w:r>
              <w:rPr>
                <w:sz w:val="18"/>
                <w:szCs w:val="18"/>
              </w:rPr>
              <w:t>5.5</w:t>
            </w:r>
          </w:p>
        </w:tc>
        <w:tc>
          <w:tcPr>
            <w:tcW w:w="1279" w:type="dxa"/>
            <w:vAlign w:val="center"/>
          </w:tcPr>
          <w:p w14:paraId="17BF6042">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contextualSpacing/>
              <w:jc w:val="center"/>
              <w:textAlignment w:val="auto"/>
              <w:rPr>
                <w:sz w:val="18"/>
                <w:szCs w:val="18"/>
              </w:rPr>
            </w:pPr>
            <w:r>
              <w:rPr>
                <w:sz w:val="18"/>
                <w:szCs w:val="18"/>
              </w:rPr>
              <w:t>5</w:t>
            </w:r>
          </w:p>
        </w:tc>
        <w:tc>
          <w:tcPr>
            <w:tcW w:w="1340" w:type="dxa"/>
            <w:vAlign w:val="center"/>
          </w:tcPr>
          <w:p w14:paraId="23DC7C06">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contextualSpacing/>
              <w:jc w:val="center"/>
              <w:textAlignment w:val="auto"/>
              <w:rPr>
                <w:sz w:val="18"/>
                <w:szCs w:val="18"/>
              </w:rPr>
            </w:pPr>
            <w:r>
              <w:rPr>
                <w:sz w:val="18"/>
                <w:szCs w:val="18"/>
              </w:rPr>
              <w:t>4</w:t>
            </w:r>
          </w:p>
        </w:tc>
      </w:tr>
    </w:tbl>
    <w:p w14:paraId="74994D3B">
      <w:pPr>
        <w:ind w:firstLine="420"/>
        <w:contextualSpacing/>
        <w:rPr>
          <w:rFonts w:hint="eastAsia"/>
          <w:szCs w:val="21"/>
        </w:rPr>
      </w:pPr>
    </w:p>
    <w:p w14:paraId="75348CBC">
      <w:pPr>
        <w:pStyle w:val="4"/>
        <w:ind w:firstLine="199" w:firstLineChars="95"/>
        <w:rPr>
          <w:rFonts w:hint="eastAsia"/>
        </w:rPr>
        <w:sectPr>
          <w:pgSz w:w="11911" w:h="16838"/>
          <w:pgMar w:top="1417" w:right="1134" w:bottom="1134" w:left="1134" w:header="567" w:footer="998" w:gutter="0"/>
          <w:pgNumType w:fmt="decimal"/>
          <w:cols w:space="0" w:num="1"/>
          <w:rtlGutter w:val="0"/>
          <w:docGrid w:linePitch="299" w:charSpace="0"/>
        </w:sectPr>
      </w:pPr>
    </w:p>
    <w:p w14:paraId="3BECF5E2">
      <w:pPr>
        <w:pStyle w:val="2"/>
        <w:bidi w:val="0"/>
        <w:rPr>
          <w:rFonts w:hint="default"/>
        </w:rPr>
      </w:pPr>
      <w:bookmarkStart w:id="149" w:name="_Toc32256"/>
      <w:bookmarkStart w:id="150" w:name="_Toc28398"/>
      <w:bookmarkStart w:id="151" w:name="_Toc28444"/>
      <w:bookmarkStart w:id="152" w:name="_Toc26564"/>
      <w:bookmarkStart w:id="153" w:name="_Toc200875078"/>
      <w:r>
        <w:rPr>
          <w:rFonts w:hint="eastAsia"/>
          <w:lang w:val="en-US" w:eastAsia="zh-CN"/>
        </w:rPr>
        <w:t>附件</w:t>
      </w:r>
      <w:bookmarkEnd w:id="149"/>
      <w:bookmarkEnd w:id="150"/>
      <w:r>
        <w:rPr>
          <w:rFonts w:hint="eastAsia"/>
          <w:lang w:val="en-US" w:eastAsia="zh-CN"/>
        </w:rPr>
        <w:t>二</w:t>
      </w:r>
      <w:bookmarkEnd w:id="151"/>
      <w:bookmarkEnd w:id="152"/>
    </w:p>
    <w:p w14:paraId="7AFC8A5F">
      <w:pPr>
        <w:pStyle w:val="2"/>
        <w:bidi w:val="0"/>
        <w:jc w:val="center"/>
        <w:rPr>
          <w:rFonts w:hint="eastAsia"/>
          <w:lang w:val="en-US" w:eastAsia="zh-CN"/>
        </w:rPr>
      </w:pPr>
      <w:r>
        <w:rPr>
          <w:rFonts w:hint="eastAsia"/>
          <w:lang w:val="en-US" w:eastAsia="zh-CN"/>
        </w:rPr>
        <w:t>机构认证业务范围</w:t>
      </w:r>
    </w:p>
    <w:p w14:paraId="7349E66A">
      <w:pPr>
        <w:jc w:val="center"/>
        <w:rPr>
          <w:rFonts w:hint="eastAsia"/>
          <w:lang w:val="en-US" w:eastAsia="zh-CN"/>
        </w:rPr>
      </w:pPr>
      <w:r>
        <w:rPr>
          <w:rFonts w:hint="eastAsia"/>
          <w:lang w:val="en-US" w:eastAsia="zh-CN"/>
        </w:rPr>
        <w:t>引用：《管理体系认证活动相关业务范围分类手册》</w:t>
      </w:r>
    </w:p>
    <w:p w14:paraId="5148FA7E">
      <w:pPr>
        <w:rPr>
          <w:rFonts w:hint="eastAsia"/>
          <w:lang w:val="en-US" w:eastAsia="zh-CN"/>
        </w:rPr>
      </w:pPr>
    </w:p>
    <w:p w14:paraId="2B9A079F">
      <w:pPr>
        <w:pStyle w:val="2"/>
        <w:bidi w:val="0"/>
        <w:rPr>
          <w:rFonts w:hint="eastAsia"/>
        </w:rPr>
      </w:pPr>
      <w:r>
        <w:rPr>
          <w:rFonts w:hint="eastAsia" w:ascii="Times New Roman" w:hAnsi="Times New Roman" w:eastAsia="宋体" w:cs="Times New Roman"/>
          <w:b w:val="0"/>
          <w:bCs/>
          <w:sz w:val="21"/>
          <w:szCs w:val="21"/>
          <w:lang w:eastAsia="zh-CN"/>
        </w:rPr>
        <w:drawing>
          <wp:anchor distT="0" distB="0" distL="114300" distR="114300" simplePos="0" relativeHeight="251663360" behindDoc="0" locked="0" layoutInCell="1" allowOverlap="1">
            <wp:simplePos x="0" y="0"/>
            <wp:positionH relativeFrom="column">
              <wp:posOffset>499110</wp:posOffset>
            </wp:positionH>
            <wp:positionV relativeFrom="paragraph">
              <wp:posOffset>60325</wp:posOffset>
            </wp:positionV>
            <wp:extent cx="5002530" cy="7349490"/>
            <wp:effectExtent l="9525" t="9525" r="17145" b="17145"/>
            <wp:wrapNone/>
            <wp:docPr id="8" name="图片 4" descr="微信图片_2025061516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微信图片_20250615160548"/>
                    <pic:cNvPicPr>
                      <a:picLocks noChangeAspect="1"/>
                    </pic:cNvPicPr>
                  </pic:nvPicPr>
                  <pic:blipFill>
                    <a:blip r:embed="rId17"/>
                    <a:stretch>
                      <a:fillRect/>
                    </a:stretch>
                  </pic:blipFill>
                  <pic:spPr>
                    <a:xfrm>
                      <a:off x="0" y="0"/>
                      <a:ext cx="5002530" cy="7349490"/>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7E033F2A">
      <w:pPr>
        <w:pStyle w:val="2"/>
        <w:bidi w:val="0"/>
        <w:rPr>
          <w:rFonts w:hint="eastAsia"/>
        </w:rPr>
      </w:pPr>
    </w:p>
    <w:p w14:paraId="3ACC9A70">
      <w:pPr>
        <w:pStyle w:val="2"/>
        <w:bidi w:val="0"/>
        <w:rPr>
          <w:rFonts w:hint="eastAsia"/>
        </w:rPr>
      </w:pPr>
    </w:p>
    <w:p w14:paraId="6CFC5C90">
      <w:pPr>
        <w:pStyle w:val="2"/>
        <w:bidi w:val="0"/>
        <w:rPr>
          <w:rFonts w:hint="eastAsia"/>
        </w:rPr>
      </w:pPr>
    </w:p>
    <w:p w14:paraId="2A9EE07C">
      <w:pPr>
        <w:pStyle w:val="2"/>
        <w:bidi w:val="0"/>
        <w:rPr>
          <w:rFonts w:hint="eastAsia"/>
        </w:rPr>
      </w:pPr>
    </w:p>
    <w:p w14:paraId="0FFAC9D8">
      <w:pPr>
        <w:pStyle w:val="2"/>
        <w:bidi w:val="0"/>
        <w:rPr>
          <w:rFonts w:hint="eastAsia"/>
        </w:rPr>
      </w:pPr>
    </w:p>
    <w:p w14:paraId="2E70F99E">
      <w:pPr>
        <w:pStyle w:val="2"/>
        <w:bidi w:val="0"/>
        <w:rPr>
          <w:rFonts w:hint="eastAsia"/>
        </w:rPr>
      </w:pPr>
    </w:p>
    <w:p w14:paraId="4F90151C">
      <w:pPr>
        <w:pStyle w:val="2"/>
        <w:bidi w:val="0"/>
        <w:rPr>
          <w:rFonts w:hint="eastAsia"/>
        </w:rPr>
      </w:pPr>
    </w:p>
    <w:p w14:paraId="644D70BD">
      <w:pPr>
        <w:pStyle w:val="2"/>
        <w:bidi w:val="0"/>
        <w:rPr>
          <w:rFonts w:hint="eastAsia"/>
        </w:rPr>
      </w:pPr>
    </w:p>
    <w:p w14:paraId="277D5922">
      <w:pPr>
        <w:pStyle w:val="2"/>
        <w:bidi w:val="0"/>
        <w:rPr>
          <w:rFonts w:hint="eastAsia"/>
        </w:rPr>
      </w:pPr>
    </w:p>
    <w:p w14:paraId="7229B8FC">
      <w:pPr>
        <w:pStyle w:val="2"/>
        <w:bidi w:val="0"/>
        <w:rPr>
          <w:rFonts w:hint="eastAsia"/>
        </w:rPr>
      </w:pPr>
    </w:p>
    <w:p w14:paraId="216EE907">
      <w:pPr>
        <w:pStyle w:val="2"/>
        <w:bidi w:val="0"/>
        <w:rPr>
          <w:rFonts w:hint="eastAsia"/>
        </w:rPr>
      </w:pPr>
    </w:p>
    <w:p w14:paraId="3620E22A">
      <w:pPr>
        <w:pStyle w:val="2"/>
        <w:bidi w:val="0"/>
        <w:rPr>
          <w:rFonts w:hint="eastAsia"/>
        </w:rPr>
      </w:pPr>
    </w:p>
    <w:p w14:paraId="04FE090B">
      <w:pPr>
        <w:pStyle w:val="2"/>
        <w:bidi w:val="0"/>
        <w:rPr>
          <w:rFonts w:hint="eastAsia"/>
        </w:rPr>
      </w:pPr>
    </w:p>
    <w:p w14:paraId="73425AC7">
      <w:pPr>
        <w:pStyle w:val="2"/>
        <w:bidi w:val="0"/>
        <w:rPr>
          <w:rFonts w:hint="eastAsia"/>
        </w:rPr>
      </w:pPr>
    </w:p>
    <w:p w14:paraId="3E8BF5A4">
      <w:pPr>
        <w:pStyle w:val="2"/>
        <w:bidi w:val="0"/>
        <w:rPr>
          <w:rFonts w:hint="eastAsia"/>
        </w:rPr>
      </w:pPr>
    </w:p>
    <w:p w14:paraId="10232009">
      <w:pPr>
        <w:pStyle w:val="2"/>
        <w:bidi w:val="0"/>
        <w:rPr>
          <w:rFonts w:hint="eastAsia"/>
        </w:rPr>
      </w:pPr>
    </w:p>
    <w:p w14:paraId="5DAC877D">
      <w:pPr>
        <w:pStyle w:val="2"/>
        <w:bidi w:val="0"/>
        <w:rPr>
          <w:rFonts w:hint="eastAsia"/>
        </w:rPr>
      </w:pPr>
    </w:p>
    <w:p w14:paraId="2229B2EE">
      <w:pPr>
        <w:pStyle w:val="2"/>
        <w:bidi w:val="0"/>
        <w:rPr>
          <w:rFonts w:hint="eastAsia"/>
        </w:rPr>
      </w:pPr>
    </w:p>
    <w:p w14:paraId="19A2832B">
      <w:pPr>
        <w:pStyle w:val="2"/>
        <w:bidi w:val="0"/>
        <w:rPr>
          <w:rFonts w:hint="eastAsia"/>
        </w:rPr>
      </w:pPr>
    </w:p>
    <w:p w14:paraId="588F750B">
      <w:pPr>
        <w:pStyle w:val="2"/>
        <w:bidi w:val="0"/>
        <w:rPr>
          <w:rFonts w:hint="eastAsia"/>
        </w:rPr>
      </w:pPr>
    </w:p>
    <w:p w14:paraId="68565C21">
      <w:pPr>
        <w:pStyle w:val="2"/>
        <w:bidi w:val="0"/>
        <w:rPr>
          <w:rFonts w:hint="eastAsia"/>
        </w:rPr>
      </w:pPr>
    </w:p>
    <w:p w14:paraId="7C5ABAD3">
      <w:pPr>
        <w:pStyle w:val="2"/>
        <w:bidi w:val="0"/>
        <w:rPr>
          <w:rFonts w:hint="eastAsia"/>
        </w:rPr>
      </w:pPr>
    </w:p>
    <w:p w14:paraId="32F0B523">
      <w:pPr>
        <w:pStyle w:val="2"/>
        <w:bidi w:val="0"/>
        <w:rPr>
          <w:rFonts w:hint="eastAsia"/>
        </w:rPr>
      </w:pPr>
    </w:p>
    <w:p w14:paraId="46675825">
      <w:pPr>
        <w:pStyle w:val="2"/>
        <w:bidi w:val="0"/>
        <w:rPr>
          <w:rFonts w:hint="eastAsia"/>
        </w:rPr>
      </w:pPr>
    </w:p>
    <w:p w14:paraId="1CC72870">
      <w:pPr>
        <w:pStyle w:val="2"/>
        <w:bidi w:val="0"/>
        <w:rPr>
          <w:rFonts w:hint="eastAsia"/>
        </w:rPr>
      </w:pPr>
    </w:p>
    <w:p w14:paraId="66928153">
      <w:pPr>
        <w:pStyle w:val="2"/>
        <w:bidi w:val="0"/>
        <w:rPr>
          <w:rFonts w:hint="eastAsia"/>
        </w:rPr>
      </w:pPr>
    </w:p>
    <w:p w14:paraId="78F4AFA7">
      <w:pPr>
        <w:pStyle w:val="2"/>
        <w:bidi w:val="0"/>
        <w:rPr>
          <w:rFonts w:hint="eastAsia"/>
        </w:rPr>
      </w:pPr>
    </w:p>
    <w:p w14:paraId="1FA6D6C3">
      <w:pPr>
        <w:pStyle w:val="2"/>
        <w:bidi w:val="0"/>
        <w:rPr>
          <w:rFonts w:hint="eastAsia"/>
        </w:rPr>
      </w:pPr>
      <w:bookmarkStart w:id="154" w:name="_Toc20866"/>
    </w:p>
    <w:p w14:paraId="1AD3AF11">
      <w:pPr>
        <w:pStyle w:val="2"/>
        <w:bidi w:val="0"/>
        <w:rPr>
          <w:rFonts w:hint="eastAsia"/>
        </w:rPr>
      </w:pPr>
      <w:bookmarkStart w:id="163" w:name="_GoBack"/>
      <w:bookmarkEnd w:id="163"/>
    </w:p>
    <w:p w14:paraId="708BD5AC">
      <w:pPr>
        <w:pStyle w:val="2"/>
        <w:bidi w:val="0"/>
        <w:rPr>
          <w:rFonts w:hint="eastAsia"/>
        </w:rPr>
      </w:pPr>
      <w:r>
        <w:rPr>
          <w:rFonts w:hint="eastAsia"/>
        </w:rPr>
        <w:t>附件</w:t>
      </w:r>
      <w:r>
        <w:rPr>
          <w:rFonts w:hint="eastAsia"/>
          <w:lang w:val="en-US" w:eastAsia="zh-CN"/>
        </w:rPr>
        <w:t>三</w:t>
      </w:r>
      <w:bookmarkEnd w:id="154"/>
      <w:r>
        <w:rPr>
          <w:rFonts w:hint="eastAsia"/>
        </w:rPr>
        <w:t xml:space="preserve">  </w:t>
      </w:r>
    </w:p>
    <w:p w14:paraId="3924D46C">
      <w:pPr>
        <w:pStyle w:val="2"/>
        <w:bidi w:val="0"/>
        <w:jc w:val="center"/>
        <w:rPr>
          <w:rFonts w:hint="eastAsia"/>
        </w:rPr>
      </w:pPr>
      <w:bookmarkStart w:id="155" w:name="_Toc21036"/>
      <w:r>
        <w:rPr>
          <w:rFonts w:hint="eastAsia"/>
        </w:rPr>
        <w:t>标准</w:t>
      </w:r>
      <w:bookmarkEnd w:id="153"/>
      <w:bookmarkEnd w:id="155"/>
    </w:p>
    <w:p w14:paraId="155CF7AE">
      <w:pPr>
        <w:pStyle w:val="2"/>
        <w:bidi w:val="0"/>
        <w:jc w:val="center"/>
        <w:rPr>
          <w:rFonts w:hint="eastAsia"/>
        </w:rPr>
      </w:pPr>
    </w:p>
    <w:p w14:paraId="7DC1ADF0">
      <w:pPr>
        <w:ind w:firstLine="420"/>
        <w:jc w:val="center"/>
        <w:rPr>
          <w:rFonts w:hint="eastAsia" w:ascii="Microsoft Sans Serif" w:hAnsi="Microsoft Sans Serif" w:cs="Microsoft Sans Serif"/>
          <w:b/>
          <w:bCs/>
          <w:szCs w:val="32"/>
        </w:rPr>
        <w:sectPr>
          <w:pgSz w:w="11911" w:h="16838"/>
          <w:pgMar w:top="1417" w:right="1134" w:bottom="1134" w:left="1134" w:header="567" w:footer="998" w:gutter="0"/>
          <w:pgNumType w:fmt="decimal"/>
          <w:cols w:space="0" w:num="1"/>
          <w:rtlGutter w:val="0"/>
          <w:docGrid w:linePitch="299" w:charSpace="0"/>
        </w:sectPr>
      </w:pPr>
      <w:r>
        <w:drawing>
          <wp:inline distT="0" distB="0" distL="0" distR="0">
            <wp:extent cx="5047615" cy="7218680"/>
            <wp:effectExtent l="0" t="0" r="635" b="1270"/>
            <wp:docPr id="20451705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70578" name="图片 1"/>
                    <pic:cNvPicPr>
                      <a:picLocks noChangeAspect="1"/>
                    </pic:cNvPicPr>
                  </pic:nvPicPr>
                  <pic:blipFill>
                    <a:blip r:embed="rId18"/>
                    <a:stretch>
                      <a:fillRect/>
                    </a:stretch>
                  </pic:blipFill>
                  <pic:spPr>
                    <a:xfrm>
                      <a:off x="0" y="0"/>
                      <a:ext cx="5047619" cy="7219048"/>
                    </a:xfrm>
                    <a:prstGeom prst="rect">
                      <a:avLst/>
                    </a:prstGeom>
                  </pic:spPr>
                </pic:pic>
              </a:graphicData>
            </a:graphic>
          </wp:inline>
        </w:drawing>
      </w:r>
    </w:p>
    <w:p w14:paraId="3699C3C9">
      <w:pPr>
        <w:pStyle w:val="2"/>
        <w:bidi w:val="0"/>
        <w:rPr>
          <w:rFonts w:hint="eastAsia"/>
        </w:rPr>
      </w:pPr>
      <w:bookmarkStart w:id="156" w:name="_Toc25901"/>
      <w:bookmarkStart w:id="157" w:name="_Toc200875079"/>
      <w:r>
        <w:rPr>
          <w:rFonts w:hint="eastAsia"/>
        </w:rPr>
        <w:t>附件</w:t>
      </w:r>
      <w:r>
        <w:rPr>
          <w:rFonts w:hint="eastAsia"/>
          <w:lang w:val="en-US" w:eastAsia="zh-CN"/>
        </w:rPr>
        <w:t>四</w:t>
      </w:r>
      <w:bookmarkEnd w:id="156"/>
      <w:r>
        <w:rPr>
          <w:rFonts w:hint="eastAsia"/>
        </w:rPr>
        <w:t xml:space="preserve"> </w:t>
      </w:r>
    </w:p>
    <w:p w14:paraId="1E9F42FE">
      <w:pPr>
        <w:pStyle w:val="2"/>
        <w:bidi w:val="0"/>
        <w:jc w:val="center"/>
        <w:rPr>
          <w:rFonts w:hint="eastAsia"/>
        </w:rPr>
      </w:pPr>
      <w:bookmarkStart w:id="158" w:name="_Toc5210"/>
      <w:r>
        <w:rPr>
          <w:rFonts w:hint="eastAsia"/>
        </w:rPr>
        <w:t>证书样板</w:t>
      </w:r>
      <w:bookmarkEnd w:id="157"/>
      <w:bookmarkEnd w:id="158"/>
    </w:p>
    <w:p w14:paraId="6FF9445B">
      <w:pPr>
        <w:pStyle w:val="2"/>
        <w:bidi w:val="0"/>
        <w:jc w:val="center"/>
        <w:rPr>
          <w:rFonts w:hint="eastAsia"/>
        </w:rPr>
      </w:pPr>
    </w:p>
    <w:p w14:paraId="5515C35B">
      <w:pPr>
        <w:ind w:firstLine="420"/>
        <w:rPr>
          <w:rFonts w:ascii="Microsoft Sans Serif" w:hAnsi="Microsoft Sans Serif" w:cs="Microsoft Sans Serif"/>
          <w:b/>
          <w:bCs/>
          <w:szCs w:val="32"/>
        </w:rPr>
        <w:sectPr>
          <w:pgSz w:w="11911" w:h="16838"/>
          <w:pgMar w:top="1417" w:right="1134" w:bottom="1134" w:left="1134" w:header="567" w:footer="998" w:gutter="0"/>
          <w:pgNumType w:fmt="decimal"/>
          <w:cols w:space="0" w:num="1"/>
          <w:rtlGutter w:val="0"/>
          <w:docGrid w:linePitch="0" w:charSpace="0"/>
        </w:sectPr>
      </w:pPr>
      <w:r>
        <w:drawing>
          <wp:inline distT="0" distB="0" distL="0" distR="0">
            <wp:extent cx="5374640" cy="7315200"/>
            <wp:effectExtent l="0" t="0" r="5080" b="0"/>
            <wp:docPr id="1513410172" name="图片 1" descr="C:/Users/liling/Desktop/公司规则/模版/模版/企业诚信管理体系认证.jpg企业诚信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10172" name="图片 1" descr="C:/Users/liling/Desktop/公司规则/模版/模版/企业诚信管理体系认证.jpg企业诚信管理体系认证"/>
                    <pic:cNvPicPr>
                      <a:picLocks noChangeAspect="1"/>
                    </pic:cNvPicPr>
                  </pic:nvPicPr>
                  <pic:blipFill>
                    <a:blip r:embed="rId19"/>
                    <a:srcRect l="508" r="508"/>
                    <a:stretch>
                      <a:fillRect/>
                    </a:stretch>
                  </pic:blipFill>
                  <pic:spPr>
                    <a:xfrm>
                      <a:off x="0" y="0"/>
                      <a:ext cx="5378433" cy="7315200"/>
                    </a:xfrm>
                    <a:prstGeom prst="rect">
                      <a:avLst/>
                    </a:prstGeom>
                  </pic:spPr>
                </pic:pic>
              </a:graphicData>
            </a:graphic>
          </wp:inline>
        </w:drawing>
      </w:r>
    </w:p>
    <w:p w14:paraId="49B59C3A">
      <w:pPr>
        <w:pStyle w:val="2"/>
        <w:bidi w:val="0"/>
        <w:rPr>
          <w:rFonts w:hint="eastAsia" w:eastAsia="宋体"/>
          <w:lang w:eastAsia="zh-CN"/>
        </w:rPr>
      </w:pPr>
      <w:bookmarkStart w:id="159" w:name="_Toc6325"/>
      <w:bookmarkStart w:id="160" w:name="_Toc200875080"/>
      <w:r>
        <w:rPr>
          <w:rFonts w:hint="eastAsia"/>
        </w:rPr>
        <w:t>附件</w:t>
      </w:r>
      <w:r>
        <w:rPr>
          <w:rFonts w:hint="eastAsia"/>
          <w:lang w:val="en-US" w:eastAsia="zh-CN"/>
        </w:rPr>
        <w:t>五</w:t>
      </w:r>
      <w:bookmarkEnd w:id="159"/>
    </w:p>
    <w:p w14:paraId="653D981B">
      <w:pPr>
        <w:pStyle w:val="2"/>
        <w:bidi w:val="0"/>
        <w:jc w:val="center"/>
        <w:rPr>
          <w:rFonts w:hint="eastAsia"/>
        </w:rPr>
      </w:pPr>
      <w:bookmarkStart w:id="161" w:name="_Toc14001"/>
      <w:bookmarkStart w:id="162" w:name="_Toc200814030"/>
      <w:r>
        <w:rPr>
          <w:rFonts w:hint="eastAsia"/>
        </w:rPr>
        <w:t>机构标识</w:t>
      </w:r>
      <w:bookmarkEnd w:id="160"/>
      <w:bookmarkEnd w:id="161"/>
      <w:bookmarkEnd w:id="162"/>
    </w:p>
    <w:p w14:paraId="3A983886">
      <w:pPr>
        <w:pStyle w:val="2"/>
        <w:bidi w:val="0"/>
        <w:jc w:val="center"/>
        <w:rPr>
          <w:rFonts w:hint="eastAsia"/>
        </w:rPr>
      </w:pPr>
    </w:p>
    <w:p w14:paraId="51FC99D4">
      <w:pPr>
        <w:pStyle w:val="2"/>
        <w:bidi w:val="0"/>
        <w:jc w:val="center"/>
        <w:rPr>
          <w:rFonts w:hint="eastAsia"/>
        </w:rPr>
      </w:pPr>
    </w:p>
    <w:p w14:paraId="7F4B7234">
      <w:pPr>
        <w:ind w:firstLine="420"/>
        <w:jc w:val="center"/>
        <w:rPr>
          <w:rFonts w:hint="eastAsia" w:ascii="Microsoft Sans Serif" w:hAnsi="Microsoft Sans Serif" w:cs="Microsoft Sans Serif"/>
          <w:b/>
          <w:bCs/>
          <w:szCs w:val="32"/>
        </w:rPr>
      </w:pPr>
      <w:r>
        <w:drawing>
          <wp:inline distT="0" distB="0" distL="0" distR="0">
            <wp:extent cx="2959735" cy="2879725"/>
            <wp:effectExtent l="0" t="0" r="12065" b="635"/>
            <wp:docPr id="4893444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44418" name="图片 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59735" cy="2879725"/>
                    </a:xfrm>
                    <a:prstGeom prst="rect">
                      <a:avLst/>
                    </a:prstGeom>
                    <a:noFill/>
                    <a:ln>
                      <a:noFill/>
                    </a:ln>
                  </pic:spPr>
                </pic:pic>
              </a:graphicData>
            </a:graphic>
          </wp:inline>
        </w:drawing>
      </w:r>
    </w:p>
    <w:p w14:paraId="11F77B6C">
      <w:pPr>
        <w:pStyle w:val="4"/>
        <w:ind w:left="0" w:firstLine="0" w:firstLineChars="0"/>
        <w:rPr>
          <w:rFonts w:hint="eastAsia"/>
          <w:sz w:val="18"/>
        </w:rPr>
      </w:pPr>
    </w:p>
    <w:sectPr>
      <w:pgSz w:w="11911" w:h="16838"/>
      <w:pgMar w:top="1417" w:right="1134" w:bottom="1134" w:left="1134" w:header="567" w:footer="998"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Sans Serif">
    <w:panose1 w:val="020B0604020202020204"/>
    <w:charset w:val="00"/>
    <w:family w:val="swiss"/>
    <w:pitch w:val="default"/>
    <w:sig w:usb0="E5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F18B6">
    <w:pPr>
      <w:pStyle w:val="6"/>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69CB">
    <w:pPr>
      <w:pStyle w:val="6"/>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7DB79">
    <w:pPr>
      <w:pStyle w:val="6"/>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E87AA">
    <w:pPr>
      <w:pStyle w:val="4"/>
      <w:spacing w:line="14" w:lineRule="auto"/>
      <w:ind w:left="0" w:firstLine="400"/>
      <w:rPr>
        <w:rFonts w:hint="eastAsia"/>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2ABE4D">
                          <w:pPr>
                            <w:pStyle w:val="6"/>
                          </w:pPr>
                          <w:r>
                            <w:t xml:space="preserve">第 </w:t>
                          </w:r>
                          <w:r>
                            <w:fldChar w:fldCharType="begin"/>
                          </w:r>
                          <w:r>
                            <w:instrText xml:space="preserve"> PAGE  \* MERGEFORMAT </w:instrText>
                          </w:r>
                          <w:r>
                            <w:fldChar w:fldCharType="separate"/>
                          </w:r>
                          <w:r>
                            <w:t>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B2ABE4D">
                    <w:pPr>
                      <w:pStyle w:val="6"/>
                    </w:pPr>
                    <w:r>
                      <w:t xml:space="preserve">第 </w:t>
                    </w:r>
                    <w:r>
                      <w:fldChar w:fldCharType="begin"/>
                    </w:r>
                    <w:r>
                      <w:instrText xml:space="preserve"> PAGE  \* MERGEFORMAT </w:instrText>
                    </w:r>
                    <w:r>
                      <w:fldChar w:fldCharType="separate"/>
                    </w:r>
                    <w:r>
                      <w:t>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7E8B6">
    <w:pPr>
      <w:pStyle w:val="7"/>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2D8C2">
    <w:pPr>
      <w:pStyle w:val="7"/>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66DD2">
    <w:pPr>
      <w:pStyle w:val="7"/>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78DFB">
    <w:pPr>
      <w:pStyle w:val="7"/>
      <w:keepNext w:val="0"/>
      <w:keepLines w:val="0"/>
      <w:pageBreakBefore w:val="0"/>
      <w:widowControl w:val="0"/>
      <w:pBdr>
        <w:bottom w:val="single" w:color="auto" w:sz="4" w:space="0"/>
      </w:pBdr>
      <w:kinsoku/>
      <w:wordWrap/>
      <w:overflowPunct/>
      <w:topLinePunct w:val="0"/>
      <w:bidi w:val="0"/>
      <w:adjustRightInd/>
      <w:snapToGrid w:val="0"/>
      <w:spacing w:line="240" w:lineRule="atLeast"/>
      <w:jc w:val="left"/>
      <w:textAlignment w:val="auto"/>
      <w:rPr>
        <w:u w:val="double"/>
      </w:rPr>
    </w:pPr>
  </w:p>
  <w:p w14:paraId="0E0494BE">
    <w:pPr>
      <w:pStyle w:val="7"/>
      <w:keepNext w:val="0"/>
      <w:keepLines w:val="0"/>
      <w:pageBreakBefore w:val="0"/>
      <w:widowControl w:val="0"/>
      <w:pBdr>
        <w:bottom w:val="single" w:color="auto" w:sz="4" w:space="0"/>
      </w:pBdr>
      <w:kinsoku/>
      <w:wordWrap/>
      <w:overflowPunct/>
      <w:topLinePunct w:val="0"/>
      <w:bidi w:val="0"/>
      <w:adjustRightInd/>
      <w:snapToGrid w:val="0"/>
      <w:spacing w:line="240" w:lineRule="atLeast"/>
      <w:jc w:val="left"/>
      <w:textAlignment w:val="auto"/>
      <w:rPr>
        <w:u w:val="double"/>
      </w:rPr>
    </w:pPr>
    <w:r>
      <w:rPr>
        <w:rFonts w:hint="eastAsia"/>
        <w:b/>
        <w:sz w:val="28"/>
        <w:szCs w:val="28"/>
      </w:rPr>
      <w:drawing>
        <wp:anchor distT="0" distB="0" distL="114300" distR="114300" simplePos="0" relativeHeight="251659264" behindDoc="0" locked="0" layoutInCell="1" allowOverlap="1">
          <wp:simplePos x="0" y="0"/>
          <wp:positionH relativeFrom="column">
            <wp:posOffset>-40640</wp:posOffset>
          </wp:positionH>
          <wp:positionV relativeFrom="paragraph">
            <wp:posOffset>-13970</wp:posOffset>
          </wp:positionV>
          <wp:extent cx="495935" cy="449580"/>
          <wp:effectExtent l="0" t="0" r="6985" b="7620"/>
          <wp:wrapNone/>
          <wp:docPr id="1" name="图片 4" descr="168636557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686365572570"/>
                  <pic:cNvPicPr>
                    <a:picLocks noChangeAspect="1"/>
                  </pic:cNvPicPr>
                </pic:nvPicPr>
                <pic:blipFill>
                  <a:blip r:embed="rId1"/>
                  <a:stretch>
                    <a:fillRect/>
                  </a:stretch>
                </pic:blipFill>
                <pic:spPr>
                  <a:xfrm>
                    <a:off x="0" y="0"/>
                    <a:ext cx="495935" cy="449580"/>
                  </a:xfrm>
                  <a:prstGeom prst="rect">
                    <a:avLst/>
                  </a:prstGeom>
                  <a:noFill/>
                  <a:ln>
                    <a:noFill/>
                  </a:ln>
                </pic:spPr>
              </pic:pic>
            </a:graphicData>
          </a:graphic>
        </wp:anchor>
      </w:drawing>
    </w:r>
  </w:p>
  <w:p w14:paraId="70208B73">
    <w:pPr>
      <w:pStyle w:val="7"/>
      <w:keepNext w:val="0"/>
      <w:keepLines w:val="0"/>
      <w:pageBreakBefore w:val="0"/>
      <w:widowControl w:val="0"/>
      <w:pBdr>
        <w:bottom w:val="single" w:color="auto" w:sz="4" w:space="0"/>
      </w:pBdr>
      <w:kinsoku/>
      <w:wordWrap/>
      <w:overflowPunct/>
      <w:topLinePunct w:val="0"/>
      <w:bidi w:val="0"/>
      <w:adjustRightInd/>
      <w:snapToGrid w:val="0"/>
      <w:spacing w:line="240" w:lineRule="atLeast"/>
      <w:ind w:firstLine="900" w:firstLineChars="500"/>
      <w:jc w:val="left"/>
      <w:textAlignment w:val="auto"/>
      <w:rPr>
        <w:rFonts w:hint="eastAsia"/>
        <w:sz w:val="18"/>
        <w:szCs w:val="18"/>
        <w:u w:val="none"/>
        <w:lang w:val="en-US" w:eastAsia="zh-CN"/>
      </w:rPr>
    </w:pPr>
    <w:r>
      <w:rPr>
        <w:rFonts w:hint="eastAsia"/>
        <w:sz w:val="18"/>
        <w:szCs w:val="18"/>
        <w:u w:val="none"/>
      </w:rPr>
      <w:t>富利汇认证（宁夏）有限公司</w:t>
    </w:r>
    <w:r>
      <w:rPr>
        <w:rFonts w:hint="eastAsia"/>
        <w:sz w:val="18"/>
        <w:szCs w:val="18"/>
        <w:u w:val="none"/>
        <w:lang w:val="en-US" w:eastAsia="zh-CN"/>
      </w:rPr>
      <w:t xml:space="preserve">                                             企业诚信管理体系认证规则</w:t>
    </w:r>
  </w:p>
  <w:p w14:paraId="278609BE">
    <w:pPr>
      <w:pStyle w:val="7"/>
      <w:keepNext w:val="0"/>
      <w:keepLines w:val="0"/>
      <w:pageBreakBefore w:val="0"/>
      <w:widowControl w:val="0"/>
      <w:pBdr>
        <w:bottom w:val="single" w:color="auto" w:sz="4" w:space="0"/>
      </w:pBdr>
      <w:kinsoku/>
      <w:wordWrap/>
      <w:overflowPunct/>
      <w:topLinePunct w:val="0"/>
      <w:bidi w:val="0"/>
      <w:adjustRightInd/>
      <w:snapToGrid w:val="0"/>
      <w:spacing w:line="240" w:lineRule="atLeast"/>
      <w:ind w:firstLine="900" w:firstLineChars="500"/>
      <w:jc w:val="left"/>
      <w:textAlignment w:val="auto"/>
      <w:rPr>
        <w:u w:val="double"/>
      </w:rPr>
    </w:pPr>
    <w:r>
      <w:rPr>
        <w:rFonts w:hint="eastAsia"/>
        <w:sz w:val="18"/>
        <w:szCs w:val="18"/>
        <w:u w:val="none"/>
        <w:lang w:val="en-US" w:eastAsia="zh-CN"/>
      </w:rPr>
      <w:t xml:space="preserve">                               </w:t>
    </w:r>
  </w:p>
  <w:p w14:paraId="1CBA9A26">
    <w:pPr>
      <w:pStyle w:val="7"/>
      <w:keepNext w:val="0"/>
      <w:keepLines w:val="0"/>
      <w:pageBreakBefore w:val="0"/>
      <w:widowControl w:val="0"/>
      <w:pBdr>
        <w:bottom w:val="none" w:color="auto" w:sz="0" w:space="1"/>
      </w:pBdr>
      <w:kinsoku/>
      <w:wordWrap/>
      <w:overflowPunct/>
      <w:topLinePunct w:val="0"/>
      <w:bidi w:val="0"/>
      <w:adjustRightInd/>
      <w:snapToGrid w:val="0"/>
      <w:spacing w:line="240" w:lineRule="atLeast"/>
      <w:jc w:val="both"/>
      <w:textAlignment w:val="auto"/>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77391">
    <w:pPr>
      <w:pStyle w:val="7"/>
      <w:keepNext w:val="0"/>
      <w:keepLines w:val="0"/>
      <w:pageBreakBefore w:val="0"/>
      <w:widowControl w:val="0"/>
      <w:pBdr>
        <w:bottom w:val="single" w:color="auto" w:sz="4" w:space="0"/>
      </w:pBdr>
      <w:kinsoku/>
      <w:wordWrap/>
      <w:overflowPunct/>
      <w:topLinePunct w:val="0"/>
      <w:bidi w:val="0"/>
      <w:adjustRightInd/>
      <w:snapToGrid w:val="0"/>
      <w:spacing w:line="240" w:lineRule="atLeast"/>
      <w:jc w:val="left"/>
      <w:textAlignment w:val="auto"/>
      <w:rPr>
        <w:u w:val="double"/>
      </w:rPr>
    </w:pPr>
  </w:p>
  <w:p w14:paraId="6B3CA9E7">
    <w:pPr>
      <w:pStyle w:val="7"/>
      <w:keepNext w:val="0"/>
      <w:keepLines w:val="0"/>
      <w:pageBreakBefore w:val="0"/>
      <w:widowControl w:val="0"/>
      <w:pBdr>
        <w:bottom w:val="single" w:color="auto" w:sz="4" w:space="0"/>
      </w:pBdr>
      <w:kinsoku/>
      <w:wordWrap/>
      <w:overflowPunct/>
      <w:topLinePunct w:val="0"/>
      <w:bidi w:val="0"/>
      <w:adjustRightInd/>
      <w:snapToGrid w:val="0"/>
      <w:spacing w:line="240" w:lineRule="atLeast"/>
      <w:jc w:val="left"/>
      <w:textAlignment w:val="auto"/>
      <w:rPr>
        <w:u w:val="double"/>
      </w:rPr>
    </w:pPr>
    <w:r>
      <w:rPr>
        <w:rFonts w:hint="eastAsia"/>
        <w:b/>
        <w:sz w:val="28"/>
        <w:szCs w:val="28"/>
      </w:rPr>
      <w:drawing>
        <wp:anchor distT="0" distB="0" distL="114300" distR="114300" simplePos="0" relativeHeight="251660288" behindDoc="0" locked="0" layoutInCell="1" allowOverlap="1">
          <wp:simplePos x="0" y="0"/>
          <wp:positionH relativeFrom="column">
            <wp:posOffset>-40640</wp:posOffset>
          </wp:positionH>
          <wp:positionV relativeFrom="paragraph">
            <wp:posOffset>-13970</wp:posOffset>
          </wp:positionV>
          <wp:extent cx="495935" cy="449580"/>
          <wp:effectExtent l="0" t="0" r="6985" b="7620"/>
          <wp:wrapNone/>
          <wp:docPr id="4" name="图片 4" descr="168636557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6365572570"/>
                  <pic:cNvPicPr>
                    <a:picLocks noChangeAspect="1"/>
                  </pic:cNvPicPr>
                </pic:nvPicPr>
                <pic:blipFill>
                  <a:blip r:embed="rId1"/>
                  <a:stretch>
                    <a:fillRect/>
                  </a:stretch>
                </pic:blipFill>
                <pic:spPr>
                  <a:xfrm>
                    <a:off x="0" y="0"/>
                    <a:ext cx="495935" cy="449580"/>
                  </a:xfrm>
                  <a:prstGeom prst="rect">
                    <a:avLst/>
                  </a:prstGeom>
                  <a:noFill/>
                  <a:ln>
                    <a:noFill/>
                  </a:ln>
                </pic:spPr>
              </pic:pic>
            </a:graphicData>
          </a:graphic>
        </wp:anchor>
      </w:drawing>
    </w:r>
  </w:p>
  <w:p w14:paraId="5B30B45A">
    <w:pPr>
      <w:pStyle w:val="7"/>
      <w:keepNext w:val="0"/>
      <w:keepLines w:val="0"/>
      <w:pageBreakBefore w:val="0"/>
      <w:widowControl w:val="0"/>
      <w:pBdr>
        <w:bottom w:val="single" w:color="auto" w:sz="4" w:space="0"/>
      </w:pBdr>
      <w:kinsoku/>
      <w:wordWrap/>
      <w:overflowPunct/>
      <w:topLinePunct w:val="0"/>
      <w:bidi w:val="0"/>
      <w:adjustRightInd/>
      <w:snapToGrid w:val="0"/>
      <w:spacing w:line="240" w:lineRule="atLeast"/>
      <w:ind w:firstLine="900" w:firstLineChars="500"/>
      <w:jc w:val="left"/>
      <w:textAlignment w:val="auto"/>
      <w:rPr>
        <w:rFonts w:hint="eastAsia"/>
        <w:sz w:val="18"/>
        <w:szCs w:val="18"/>
        <w:u w:val="none"/>
        <w:lang w:val="en-US" w:eastAsia="zh-CN"/>
      </w:rPr>
    </w:pPr>
    <w:r>
      <w:rPr>
        <w:rFonts w:hint="eastAsia"/>
        <w:sz w:val="18"/>
        <w:szCs w:val="18"/>
        <w:u w:val="none"/>
      </w:rPr>
      <w:t>富利汇认证（宁夏）有限公司</w:t>
    </w:r>
    <w:r>
      <w:rPr>
        <w:rFonts w:hint="eastAsia"/>
        <w:sz w:val="18"/>
        <w:szCs w:val="18"/>
        <w:u w:val="none"/>
        <w:lang w:val="en-US" w:eastAsia="zh-CN"/>
      </w:rPr>
      <w:t xml:space="preserve">                                             企业诚信管理体系认证规则</w:t>
    </w:r>
  </w:p>
  <w:p w14:paraId="0307E674">
    <w:pPr>
      <w:pStyle w:val="7"/>
      <w:keepNext w:val="0"/>
      <w:keepLines w:val="0"/>
      <w:pageBreakBefore w:val="0"/>
      <w:widowControl w:val="0"/>
      <w:pBdr>
        <w:bottom w:val="single" w:color="auto" w:sz="4" w:space="0"/>
      </w:pBdr>
      <w:kinsoku/>
      <w:wordWrap/>
      <w:overflowPunct/>
      <w:topLinePunct w:val="0"/>
      <w:bidi w:val="0"/>
      <w:adjustRightInd/>
      <w:snapToGrid w:val="0"/>
      <w:spacing w:line="240" w:lineRule="atLeast"/>
      <w:ind w:firstLine="900" w:firstLineChars="500"/>
      <w:jc w:val="left"/>
      <w:textAlignment w:val="auto"/>
      <w:rPr>
        <w:u w:val="double"/>
      </w:rPr>
    </w:pPr>
    <w:r>
      <w:rPr>
        <w:rFonts w:hint="eastAsia"/>
        <w:sz w:val="18"/>
        <w:szCs w:val="18"/>
        <w:u w:val="none"/>
        <w:lang w:val="en-US" w:eastAsia="zh-CN"/>
      </w:rPr>
      <w:t xml:space="preserve">                               </w:t>
    </w:r>
  </w:p>
  <w:p w14:paraId="0C9D0A45">
    <w:pPr>
      <w:pStyle w:val="7"/>
      <w:keepNext w:val="0"/>
      <w:keepLines w:val="0"/>
      <w:pageBreakBefore w:val="0"/>
      <w:widowControl w:val="0"/>
      <w:pBdr>
        <w:bottom w:val="none" w:color="auto" w:sz="0" w:space="1"/>
      </w:pBdr>
      <w:kinsoku/>
      <w:wordWrap/>
      <w:overflowPunct/>
      <w:topLinePunct w:val="0"/>
      <w:bidi w:val="0"/>
      <w:adjustRightInd/>
      <w:snapToGrid w:val="0"/>
      <w:spacing w:line="240" w:lineRule="atLeast"/>
      <w:jc w:val="both"/>
      <w:textAlignment w:val="auto"/>
      <w:rPr>
        <w:rFonts w:hint="eastAsia"/>
      </w:rPr>
    </w:pPr>
  </w:p>
  <w:p w14:paraId="41D9B64D">
    <w:pPr>
      <w:pStyle w:val="7"/>
      <w:ind w:left="0" w:leftChars="0" w:firstLine="0" w:firstLineChars="0"/>
      <w:jc w:val="left"/>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8028E">
    <w:pPr>
      <w:pStyle w:val="7"/>
      <w:keepNext w:val="0"/>
      <w:keepLines w:val="0"/>
      <w:pageBreakBefore w:val="0"/>
      <w:widowControl w:val="0"/>
      <w:pBdr>
        <w:bottom w:val="single" w:color="auto" w:sz="4" w:space="0"/>
      </w:pBdr>
      <w:kinsoku/>
      <w:wordWrap/>
      <w:overflowPunct/>
      <w:topLinePunct w:val="0"/>
      <w:bidi w:val="0"/>
      <w:adjustRightInd/>
      <w:snapToGrid w:val="0"/>
      <w:spacing w:line="240" w:lineRule="atLeast"/>
      <w:jc w:val="left"/>
      <w:textAlignment w:val="auto"/>
      <w:rPr>
        <w:u w:val="double"/>
      </w:rPr>
    </w:pPr>
  </w:p>
  <w:p w14:paraId="2C35A5ED">
    <w:pPr>
      <w:pStyle w:val="7"/>
      <w:keepNext w:val="0"/>
      <w:keepLines w:val="0"/>
      <w:pageBreakBefore w:val="0"/>
      <w:widowControl w:val="0"/>
      <w:pBdr>
        <w:bottom w:val="single" w:color="auto" w:sz="4" w:space="0"/>
      </w:pBdr>
      <w:kinsoku/>
      <w:wordWrap/>
      <w:overflowPunct/>
      <w:topLinePunct w:val="0"/>
      <w:bidi w:val="0"/>
      <w:adjustRightInd/>
      <w:snapToGrid w:val="0"/>
      <w:spacing w:line="240" w:lineRule="atLeast"/>
      <w:jc w:val="left"/>
      <w:textAlignment w:val="auto"/>
      <w:rPr>
        <w:u w:val="double"/>
      </w:rPr>
    </w:pPr>
    <w:r>
      <w:rPr>
        <w:rFonts w:hint="eastAsia"/>
        <w:b/>
        <w:sz w:val="28"/>
        <w:szCs w:val="28"/>
      </w:rPr>
      <w:drawing>
        <wp:anchor distT="0" distB="0" distL="114300" distR="114300" simplePos="0" relativeHeight="251661312" behindDoc="0" locked="0" layoutInCell="1" allowOverlap="1">
          <wp:simplePos x="0" y="0"/>
          <wp:positionH relativeFrom="column">
            <wp:posOffset>-40640</wp:posOffset>
          </wp:positionH>
          <wp:positionV relativeFrom="paragraph">
            <wp:posOffset>-13970</wp:posOffset>
          </wp:positionV>
          <wp:extent cx="495935" cy="449580"/>
          <wp:effectExtent l="0" t="0" r="6985" b="7620"/>
          <wp:wrapNone/>
          <wp:docPr id="5" name="图片 4" descr="168636557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686365572570"/>
                  <pic:cNvPicPr>
                    <a:picLocks noChangeAspect="1"/>
                  </pic:cNvPicPr>
                </pic:nvPicPr>
                <pic:blipFill>
                  <a:blip r:embed="rId1"/>
                  <a:stretch>
                    <a:fillRect/>
                  </a:stretch>
                </pic:blipFill>
                <pic:spPr>
                  <a:xfrm>
                    <a:off x="0" y="0"/>
                    <a:ext cx="495935" cy="449580"/>
                  </a:xfrm>
                  <a:prstGeom prst="rect">
                    <a:avLst/>
                  </a:prstGeom>
                  <a:noFill/>
                  <a:ln>
                    <a:noFill/>
                  </a:ln>
                </pic:spPr>
              </pic:pic>
            </a:graphicData>
          </a:graphic>
        </wp:anchor>
      </w:drawing>
    </w:r>
  </w:p>
  <w:p w14:paraId="39EA643B">
    <w:pPr>
      <w:pStyle w:val="7"/>
      <w:keepNext w:val="0"/>
      <w:keepLines w:val="0"/>
      <w:pageBreakBefore w:val="0"/>
      <w:widowControl w:val="0"/>
      <w:pBdr>
        <w:bottom w:val="single" w:color="auto" w:sz="4" w:space="0"/>
      </w:pBdr>
      <w:kinsoku/>
      <w:wordWrap/>
      <w:overflowPunct/>
      <w:topLinePunct w:val="0"/>
      <w:bidi w:val="0"/>
      <w:adjustRightInd/>
      <w:snapToGrid w:val="0"/>
      <w:spacing w:line="240" w:lineRule="atLeast"/>
      <w:ind w:firstLine="900" w:firstLineChars="500"/>
      <w:jc w:val="left"/>
      <w:textAlignment w:val="auto"/>
      <w:rPr>
        <w:rFonts w:hint="eastAsia"/>
        <w:sz w:val="18"/>
        <w:szCs w:val="18"/>
        <w:u w:val="none"/>
        <w:lang w:val="en-US" w:eastAsia="zh-CN"/>
      </w:rPr>
    </w:pPr>
    <w:r>
      <w:rPr>
        <w:rFonts w:hint="eastAsia"/>
        <w:sz w:val="18"/>
        <w:szCs w:val="18"/>
        <w:u w:val="none"/>
      </w:rPr>
      <w:t>富利汇认证（宁夏）有限公司</w:t>
    </w:r>
    <w:r>
      <w:rPr>
        <w:rFonts w:hint="eastAsia"/>
        <w:sz w:val="18"/>
        <w:szCs w:val="18"/>
        <w:u w:val="none"/>
        <w:lang w:val="en-US" w:eastAsia="zh-CN"/>
      </w:rPr>
      <w:t xml:space="preserve">                                             企业诚信管理体系认证规则</w:t>
    </w:r>
  </w:p>
  <w:p w14:paraId="6C931EA9">
    <w:pPr>
      <w:pStyle w:val="7"/>
      <w:keepNext w:val="0"/>
      <w:keepLines w:val="0"/>
      <w:pageBreakBefore w:val="0"/>
      <w:widowControl w:val="0"/>
      <w:pBdr>
        <w:bottom w:val="single" w:color="auto" w:sz="4" w:space="0"/>
      </w:pBdr>
      <w:kinsoku/>
      <w:wordWrap/>
      <w:overflowPunct/>
      <w:topLinePunct w:val="0"/>
      <w:bidi w:val="0"/>
      <w:adjustRightInd/>
      <w:snapToGrid w:val="0"/>
      <w:spacing w:line="240" w:lineRule="atLeast"/>
      <w:ind w:firstLine="900" w:firstLineChars="500"/>
      <w:jc w:val="left"/>
      <w:textAlignment w:val="auto"/>
      <w:rPr>
        <w:u w:val="double"/>
      </w:rPr>
    </w:pPr>
    <w:r>
      <w:rPr>
        <w:rFonts w:hint="eastAsia"/>
        <w:sz w:val="18"/>
        <w:szCs w:val="18"/>
        <w:u w:val="none"/>
        <w:lang w:val="en-US" w:eastAsia="zh-CN"/>
      </w:rPr>
      <w:t xml:space="preserve">                               </w:t>
    </w:r>
  </w:p>
  <w:p w14:paraId="5A1FF481">
    <w:pPr>
      <w:pStyle w:val="7"/>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17345E"/>
    <w:multiLevelType w:val="singleLevel"/>
    <w:tmpl w:val="C617345E"/>
    <w:lvl w:ilvl="0" w:tentative="0">
      <w:start w:val="1"/>
      <w:numFmt w:val="decimal"/>
      <w:suff w:val="nothing"/>
      <w:lvlText w:val="%1）"/>
      <w:lvlJc w:val="left"/>
      <w:pPr>
        <w:ind w:left="0" w:firstLine="454"/>
      </w:pPr>
    </w:lvl>
  </w:abstractNum>
  <w:abstractNum w:abstractNumId="1">
    <w:nsid w:val="2075F992"/>
    <w:multiLevelType w:val="multilevel"/>
    <w:tmpl w:val="2075F992"/>
    <w:lvl w:ilvl="0" w:tentative="0">
      <w:start w:val="1"/>
      <w:numFmt w:val="decimal"/>
      <w:suff w:val="space"/>
      <w:lvlText w:val="%1"/>
      <w:lvlJc w:val="left"/>
      <w:pPr>
        <w:ind w:left="440" w:hanging="440"/>
      </w:pPr>
      <w:rPr>
        <w:rFonts w:hint="eastAsia"/>
      </w:rPr>
    </w:lvl>
    <w:lvl w:ilvl="1" w:tentative="0">
      <w:start w:val="1"/>
      <w:numFmt w:val="decimal"/>
      <w:pStyle w:val="15"/>
      <w:isLgl/>
      <w:suff w:val="space"/>
      <w:lvlText w:val="%1.%2"/>
      <w:lvlJc w:val="left"/>
      <w:pPr>
        <w:ind w:left="0" w:firstLine="227"/>
      </w:pPr>
      <w:rPr>
        <w:rFonts w:hint="default"/>
        <w:b w:val="0"/>
        <w:bCs w:val="0"/>
        <w:sz w:val="21"/>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
    <w:nsid w:val="3099B914"/>
    <w:multiLevelType w:val="singleLevel"/>
    <w:tmpl w:val="3099B914"/>
    <w:lvl w:ilvl="0" w:tentative="0">
      <w:start w:val="1"/>
      <w:numFmt w:val="decimal"/>
      <w:suff w:val="nothing"/>
      <w:lvlText w:val="%1）"/>
      <w:lvlJc w:val="left"/>
      <w:pPr>
        <w:ind w:left="0" w:firstLine="454"/>
      </w:pPr>
    </w:lvl>
  </w:abstractNum>
  <w:abstractNum w:abstractNumId="3">
    <w:nsid w:val="500FAEC0"/>
    <w:multiLevelType w:val="singleLevel"/>
    <w:tmpl w:val="500FAEC0"/>
    <w:lvl w:ilvl="0" w:tentative="0">
      <w:start w:val="5"/>
      <w:numFmt w:val="decimal"/>
      <w:suff w:val="nothing"/>
      <w:lvlText w:val="%1）"/>
      <w:lvlJc w:val="left"/>
      <w:pPr>
        <w:ind w:left="0" w:firstLine="454"/>
      </w:pPr>
    </w:lvl>
  </w:abstractNum>
  <w:abstractNum w:abstractNumId="4">
    <w:nsid w:val="63EF60C0"/>
    <w:multiLevelType w:val="singleLevel"/>
    <w:tmpl w:val="63EF60C0"/>
    <w:lvl w:ilvl="0" w:tentative="0">
      <w:start w:val="1"/>
      <w:numFmt w:val="decimal"/>
      <w:suff w:val="nothing"/>
      <w:lvlText w:val="%1）"/>
      <w:lvlJc w:val="left"/>
      <w:pPr>
        <w:ind w:left="0" w:firstLine="454"/>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gutterAtTop/>
  <w:documentProtection w:enforcement="0"/>
  <w:defaultTabStop w:val="719"/>
  <w:drawingGridHorizontalSpacing w:val="210"/>
  <w:drawingGridVerticalSpacing w:val="99999990"/>
  <w:displayHorizontalDrawingGridEvery w:val="1"/>
  <w:characterSpacingControl w:val="doNotCompress"/>
  <w:hdrShapeDefaults>
    <o:shapelayout v:ext="edit">
      <o:idmap v:ext="edit" data="3"/>
    </o:shapelayout>
  </w:hdrShapeDefaults>
  <w:footnotePr>
    <w:footnote w:id="0"/>
    <w:footnote w:id="1"/>
  </w:footnotePr>
  <w:endnotePr>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6C8"/>
    <w:rsid w:val="00193E2B"/>
    <w:rsid w:val="001C4A50"/>
    <w:rsid w:val="00201336"/>
    <w:rsid w:val="003F5EDF"/>
    <w:rsid w:val="0058572F"/>
    <w:rsid w:val="00615F34"/>
    <w:rsid w:val="006508FA"/>
    <w:rsid w:val="00672CDC"/>
    <w:rsid w:val="006E76C8"/>
    <w:rsid w:val="007A628E"/>
    <w:rsid w:val="00967121"/>
    <w:rsid w:val="009804E1"/>
    <w:rsid w:val="00AA5356"/>
    <w:rsid w:val="00B97963"/>
    <w:rsid w:val="00BA696A"/>
    <w:rsid w:val="00CA505F"/>
    <w:rsid w:val="00CB7DFB"/>
    <w:rsid w:val="01C06EC1"/>
    <w:rsid w:val="051379D8"/>
    <w:rsid w:val="0A4C36EF"/>
    <w:rsid w:val="0ADA341F"/>
    <w:rsid w:val="0BE61D6A"/>
    <w:rsid w:val="1AE259D8"/>
    <w:rsid w:val="24897B3B"/>
    <w:rsid w:val="264D4D16"/>
    <w:rsid w:val="293B2E83"/>
    <w:rsid w:val="2CB618C5"/>
    <w:rsid w:val="380A6843"/>
    <w:rsid w:val="3AA06FEA"/>
    <w:rsid w:val="430B7913"/>
    <w:rsid w:val="461245A8"/>
    <w:rsid w:val="47F73F7B"/>
    <w:rsid w:val="50F6575E"/>
    <w:rsid w:val="512027DB"/>
    <w:rsid w:val="57866724"/>
    <w:rsid w:val="58ED06B7"/>
    <w:rsid w:val="6DA560EA"/>
    <w:rsid w:val="73AF7CC3"/>
    <w:rsid w:val="7C61440C"/>
    <w:rsid w:val="7D862B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line="360" w:lineRule="auto"/>
      <w:ind w:firstLine="200" w:firstLineChars="200"/>
      <w:jc w:val="both"/>
    </w:pPr>
    <w:rPr>
      <w:rFonts w:ascii="宋体" w:hAnsi="宋体" w:eastAsia="宋体" w:cs="宋体"/>
      <w:sz w:val="21"/>
      <w:szCs w:val="22"/>
      <w:lang w:val="en-US" w:eastAsia="zh-CN" w:bidi="ar-SA"/>
    </w:rPr>
  </w:style>
  <w:style w:type="paragraph" w:styleId="2">
    <w:name w:val="heading 1"/>
    <w:basedOn w:val="1"/>
    <w:next w:val="1"/>
    <w:qFormat/>
    <w:uiPriority w:val="9"/>
    <w:pPr>
      <w:ind w:firstLine="0" w:firstLineChars="0"/>
      <w:outlineLvl w:val="0"/>
    </w:pPr>
    <w:rPr>
      <w:rFonts w:ascii="Times New Roman" w:hAnsi="Times New Roman" w:cs="Microsoft Sans Serif"/>
      <w:b/>
      <w:sz w:val="24"/>
      <w:szCs w:val="32"/>
    </w:rPr>
  </w:style>
  <w:style w:type="paragraph" w:styleId="3">
    <w:name w:val="heading 2"/>
    <w:basedOn w:val="1"/>
    <w:unhideWhenUsed/>
    <w:qFormat/>
    <w:uiPriority w:val="9"/>
    <w:pPr>
      <w:ind w:right="91"/>
      <w:jc w:val="center"/>
      <w:outlineLvl w:val="1"/>
    </w:pPr>
    <w:rPr>
      <w:sz w:val="28"/>
      <w:szCs w:val="28"/>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9"/>
    <w:qFormat/>
    <w:uiPriority w:val="1"/>
    <w:pPr>
      <w:ind w:left="165"/>
    </w:pPr>
    <w:rPr>
      <w:szCs w:val="21"/>
    </w:rPr>
  </w:style>
  <w:style w:type="paragraph" w:styleId="5">
    <w:name w:val="toc 3"/>
    <w:basedOn w:val="1"/>
    <w:next w:val="1"/>
    <w:autoRedefine/>
    <w:unhideWhenUsed/>
    <w:qFormat/>
    <w:uiPriority w:val="39"/>
    <w:pPr>
      <w:ind w:left="840" w:leftChars="400"/>
    </w:pPr>
  </w:style>
  <w:style w:type="paragraph" w:styleId="6">
    <w:name w:val="footer"/>
    <w:basedOn w:val="1"/>
    <w:link w:val="18"/>
    <w:unhideWhenUsed/>
    <w:qFormat/>
    <w:uiPriority w:val="99"/>
    <w:pPr>
      <w:tabs>
        <w:tab w:val="center" w:pos="4153"/>
        <w:tab w:val="right" w:pos="8306"/>
      </w:tabs>
      <w:snapToGrid w:val="0"/>
    </w:pPr>
    <w:rPr>
      <w:sz w:val="18"/>
      <w:szCs w:val="18"/>
    </w:rPr>
  </w:style>
  <w:style w:type="paragraph" w:styleId="7">
    <w:name w:val="header"/>
    <w:basedOn w:val="1"/>
    <w:link w:val="17"/>
    <w:unhideWhenUsed/>
    <w:qFormat/>
    <w:uiPriority w:val="99"/>
    <w:pP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toc 2"/>
    <w:basedOn w:val="1"/>
    <w:next w:val="1"/>
    <w:autoRedefine/>
    <w:unhideWhenUsed/>
    <w:qFormat/>
    <w:uiPriority w:val="39"/>
    <w:pPr>
      <w:tabs>
        <w:tab w:val="left" w:pos="1320"/>
        <w:tab w:val="right" w:leader="dot" w:pos="8296"/>
      </w:tabs>
      <w:ind w:firstLine="482"/>
      <w:jc w:val="center"/>
    </w:pPr>
    <w:rPr>
      <w:b/>
      <w:bCs/>
      <w:sz w:val="24"/>
      <w:szCs w:val="28"/>
    </w:rPr>
  </w:style>
  <w:style w:type="paragraph" w:styleId="10">
    <w:name w:val="Title"/>
    <w:basedOn w:val="1"/>
    <w:qFormat/>
    <w:uiPriority w:val="10"/>
    <w:pPr>
      <w:spacing w:before="14"/>
      <w:ind w:right="94"/>
      <w:jc w:val="center"/>
    </w:pPr>
    <w:rPr>
      <w:sz w:val="72"/>
      <w:szCs w:val="72"/>
    </w:r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link w:val="21"/>
    <w:autoRedefine/>
    <w:qFormat/>
    <w:uiPriority w:val="1"/>
    <w:pPr>
      <w:numPr>
        <w:ilvl w:val="1"/>
        <w:numId w:val="1"/>
      </w:numPr>
      <w:ind w:firstLineChars="0"/>
      <w:contextualSpacing/>
      <w:outlineLvl w:val="2"/>
    </w:pPr>
  </w:style>
  <w:style w:type="paragraph" w:customStyle="1" w:styleId="16">
    <w:name w:val="Table Paragraph"/>
    <w:basedOn w:val="1"/>
    <w:qFormat/>
    <w:uiPriority w:val="1"/>
    <w:pPr>
      <w:spacing w:line="291" w:lineRule="exact"/>
      <w:ind w:left="18"/>
      <w:jc w:val="center"/>
    </w:pPr>
  </w:style>
  <w:style w:type="character" w:customStyle="1" w:styleId="17">
    <w:name w:val="页眉 字符"/>
    <w:basedOn w:val="12"/>
    <w:link w:val="7"/>
    <w:qFormat/>
    <w:uiPriority w:val="99"/>
    <w:rPr>
      <w:rFonts w:ascii="宋体" w:hAnsi="宋体" w:eastAsia="宋体" w:cs="宋体"/>
      <w:sz w:val="18"/>
      <w:szCs w:val="18"/>
      <w:lang w:eastAsia="zh-CN"/>
    </w:rPr>
  </w:style>
  <w:style w:type="character" w:customStyle="1" w:styleId="18">
    <w:name w:val="页脚 字符"/>
    <w:basedOn w:val="12"/>
    <w:link w:val="6"/>
    <w:qFormat/>
    <w:uiPriority w:val="99"/>
    <w:rPr>
      <w:rFonts w:ascii="宋体" w:hAnsi="宋体" w:eastAsia="宋体" w:cs="宋体"/>
      <w:sz w:val="18"/>
      <w:szCs w:val="18"/>
      <w:lang w:eastAsia="zh-CN"/>
    </w:rPr>
  </w:style>
  <w:style w:type="character" w:customStyle="1" w:styleId="19">
    <w:name w:val="正文文本 字符"/>
    <w:basedOn w:val="12"/>
    <w:link w:val="4"/>
    <w:qFormat/>
    <w:uiPriority w:val="1"/>
    <w:rPr>
      <w:rFonts w:ascii="宋体" w:hAnsi="宋体" w:eastAsia="宋体" w:cs="宋体"/>
      <w:sz w:val="21"/>
      <w:szCs w:val="21"/>
      <w:lang w:eastAsia="zh-CN"/>
    </w:rPr>
  </w:style>
  <w:style w:type="paragraph" w:customStyle="1" w:styleId="20">
    <w:name w:val="样式1"/>
    <w:basedOn w:val="15"/>
    <w:next w:val="1"/>
    <w:link w:val="22"/>
    <w:autoRedefine/>
    <w:qFormat/>
    <w:uiPriority w:val="0"/>
    <w:pPr>
      <w:numPr>
        <w:ilvl w:val="0"/>
        <w:numId w:val="0"/>
      </w:numPr>
      <w:ind w:firstLine="420" w:firstLineChars="200"/>
      <w:outlineLvl w:val="9"/>
    </w:pPr>
  </w:style>
  <w:style w:type="character" w:customStyle="1" w:styleId="21">
    <w:name w:val="列表段落 字符"/>
    <w:basedOn w:val="12"/>
    <w:link w:val="15"/>
    <w:qFormat/>
    <w:uiPriority w:val="1"/>
    <w:rPr>
      <w:rFonts w:ascii="宋体" w:hAnsi="宋体" w:eastAsia="宋体" w:cs="宋体"/>
      <w:sz w:val="21"/>
      <w:lang w:eastAsia="zh-CN"/>
    </w:rPr>
  </w:style>
  <w:style w:type="character" w:customStyle="1" w:styleId="22">
    <w:name w:val="样式1 字符"/>
    <w:basedOn w:val="21"/>
    <w:link w:val="20"/>
    <w:qFormat/>
    <w:uiPriority w:val="0"/>
    <w:rPr>
      <w:rFonts w:ascii="宋体" w:hAnsi="宋体" w:eastAsia="宋体" w:cs="宋体"/>
      <w:sz w:val="21"/>
      <w:lang w:eastAsia="zh-CN"/>
    </w:rPr>
  </w:style>
  <w:style w:type="paragraph" w:customStyle="1" w:styleId="23">
    <w:name w:val="TOC Heading"/>
    <w:basedOn w:val="2"/>
    <w:next w:val="1"/>
    <w:unhideWhenUsed/>
    <w:qFormat/>
    <w:uiPriority w:val="39"/>
    <w:pPr>
      <w:keepNext/>
      <w:keepLines/>
      <w:widowControl/>
      <w:autoSpaceDE/>
      <w:autoSpaceDN/>
      <w:spacing w:before="240" w:line="259" w:lineRule="auto"/>
      <w:ind w:firstLine="0" w:firstLineChars="0"/>
      <w:jc w:val="left"/>
      <w:outlineLvl w:val="9"/>
    </w:pPr>
    <w:rPr>
      <w:rFonts w:asciiTheme="majorHAnsi" w:hAnsiTheme="majorHAnsi" w:eastAsiaTheme="majorEastAsia" w:cstheme="majorBidi"/>
      <w:b w:val="0"/>
      <w:color w:val="376092" w:themeColor="accent1" w:themeShade="BF"/>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FB6826-5DB2-4AD6-8240-9D644B47AA4C}">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16</Pages>
  <Words>6473</Words>
  <Characters>6991</Characters>
  <Lines>310</Lines>
  <Paragraphs>374</Paragraphs>
  <TotalTime>0</TotalTime>
  <ScaleCrop>false</ScaleCrop>
  <LinksUpToDate>false</LinksUpToDate>
  <CharactersWithSpaces>7179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2025-06-15T00:39:00Z</dcterms:created>
  <dc:creator>张小娟</dc:creator>
  <cp:lastModifiedBy>花开花落</cp:lastModifiedBy>
  <dcterms:modified xsi:type="dcterms:W3CDTF">2025-06-15T08:37:44Z</dcterms:modified>
  <dc:title>HXQC</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2019-07-10T00:00:00Z</vt:filetime>
  </property>
  <property fmtid="{D5CDD505-2E9C-101B-9397-08002B2CF9AE}" pid="3" name="Creator">
    <vt:lpwstr>Acrobat PDFMaker 10.1 Word 版</vt:lpwstr>
  </property>
  <property fmtid="{D5CDD505-2E9C-101B-9397-08002B2CF9AE}" pid="4" name="KSOProductBuildVer">
    <vt:lpwstr>2052-12.1.0.21541</vt:lpwstr>
  </property>
  <property fmtid="{D5CDD505-2E9C-101B-9397-08002B2CF9AE}" pid="5" name="LastSaved">
    <vt:filetime>2025-06-14T00:00:00Z</vt:filetime>
  </property>
  <property fmtid="{D5CDD505-2E9C-101B-9397-08002B2CF9AE}" pid="6" name="Producer">
    <vt:lpwstr>3-Heights(TM) PDF Security Shell 4.8.25.2 (http://www.pdf-tools.com)</vt:lpwstr>
  </property>
  <property fmtid="{D5CDD505-2E9C-101B-9397-08002B2CF9AE}" pid="7" name="SourceModified">
    <vt:lpwstr>D:20190710024753</vt:lpwstr>
  </property>
  <property fmtid="{D5CDD505-2E9C-101B-9397-08002B2CF9AE}" pid="8" name="KSOTemplateDocerSaveRecord">
    <vt:lpwstr>eyJoZGlkIjoiZGZhY2VjMjdjYzAzOWE2ODFmMTJjNWU5N2U0M2I5YWEiLCJ1c2VySWQiOiIxMDQwODIzMTYwIn0=</vt:lpwstr>
  </property>
  <property fmtid="{D5CDD505-2E9C-101B-9397-08002B2CF9AE}" pid="9" name="ICV">
    <vt:lpwstr>6B6D895401AF4E988411B9501944C43A_12</vt:lpwstr>
  </property>
</Properties>
</file>